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40D7" w14:textId="77777777" w:rsidR="00542B4F" w:rsidRPr="00A263FC" w:rsidRDefault="00542B4F">
      <w:pPr>
        <w:rPr>
          <w:rFonts w:ascii="BC Sans" w:hAnsi="BC Sans"/>
          <w:sz w:val="22"/>
          <w:szCs w:val="22"/>
        </w:rPr>
      </w:pPr>
    </w:p>
    <w:tbl>
      <w:tblPr>
        <w:tblStyle w:val="TableGrid"/>
        <w:tblW w:w="0" w:type="auto"/>
        <w:tblLook w:val="04A0" w:firstRow="1" w:lastRow="0" w:firstColumn="1" w:lastColumn="0" w:noHBand="0" w:noVBand="1"/>
      </w:tblPr>
      <w:tblGrid>
        <w:gridCol w:w="3369"/>
        <w:gridCol w:w="283"/>
        <w:gridCol w:w="2552"/>
        <w:gridCol w:w="283"/>
        <w:gridCol w:w="2793"/>
      </w:tblGrid>
      <w:tr w:rsidR="00DD023E" w:rsidRPr="00A263FC" w14:paraId="4B8D40DB" w14:textId="77777777" w:rsidTr="000A51AF">
        <w:tc>
          <w:tcPr>
            <w:tcW w:w="6204" w:type="dxa"/>
            <w:gridSpan w:val="3"/>
            <w:tcBorders>
              <w:top w:val="nil"/>
              <w:left w:val="nil"/>
              <w:right w:val="nil"/>
            </w:tcBorders>
          </w:tcPr>
          <w:p w14:paraId="4B8D40D8" w14:textId="73343067"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Wales Young Institute</w:t>
            </w:r>
          </w:p>
        </w:tc>
        <w:tc>
          <w:tcPr>
            <w:tcW w:w="283" w:type="dxa"/>
            <w:tcBorders>
              <w:top w:val="nil"/>
              <w:left w:val="nil"/>
              <w:bottom w:val="nil"/>
              <w:right w:val="nil"/>
            </w:tcBorders>
          </w:tcPr>
          <w:p w14:paraId="4B8D40D9" w14:textId="77777777" w:rsidR="00DD023E" w:rsidRPr="00A263FC" w:rsidRDefault="00DD023E" w:rsidP="00DD023E">
            <w:pPr>
              <w:rPr>
                <w:rFonts w:ascii="BC Sans" w:hAnsi="BC Sans"/>
                <w:sz w:val="22"/>
                <w:szCs w:val="22"/>
                <w:lang w:val="en-CA" w:eastAsia="en-CA"/>
              </w:rPr>
            </w:pPr>
          </w:p>
        </w:tc>
        <w:tc>
          <w:tcPr>
            <w:tcW w:w="2793" w:type="dxa"/>
            <w:tcBorders>
              <w:top w:val="nil"/>
              <w:left w:val="nil"/>
              <w:right w:val="nil"/>
            </w:tcBorders>
          </w:tcPr>
          <w:p w14:paraId="4B8D40DA" w14:textId="22B30751" w:rsidR="00DD023E" w:rsidRPr="00A263FC" w:rsidRDefault="00F76787" w:rsidP="00DD023E">
            <w:pPr>
              <w:rPr>
                <w:rFonts w:ascii="BC Sans" w:hAnsi="BC Sans"/>
                <w:sz w:val="22"/>
                <w:szCs w:val="22"/>
                <w:lang w:val="en-CA" w:eastAsia="en-CA"/>
              </w:rPr>
            </w:pPr>
            <w:r>
              <w:rPr>
                <w:rFonts w:ascii="BC Sans" w:hAnsi="BC Sans"/>
                <w:sz w:val="22"/>
                <w:szCs w:val="22"/>
                <w:lang w:val="en-CA" w:eastAsia="en-CA"/>
              </w:rPr>
              <w:t>03857</w:t>
            </w:r>
          </w:p>
        </w:tc>
      </w:tr>
      <w:tr w:rsidR="00DD023E" w:rsidRPr="00A263FC" w14:paraId="4B8D40DF" w14:textId="77777777" w:rsidTr="000A51AF">
        <w:tc>
          <w:tcPr>
            <w:tcW w:w="6204" w:type="dxa"/>
            <w:gridSpan w:val="3"/>
            <w:tcBorders>
              <w:left w:val="nil"/>
              <w:bottom w:val="nil"/>
              <w:right w:val="nil"/>
            </w:tcBorders>
          </w:tcPr>
          <w:p w14:paraId="4B8D40DC"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Institution</w:t>
            </w:r>
          </w:p>
        </w:tc>
        <w:tc>
          <w:tcPr>
            <w:tcW w:w="283" w:type="dxa"/>
            <w:tcBorders>
              <w:top w:val="nil"/>
              <w:left w:val="nil"/>
              <w:bottom w:val="nil"/>
              <w:right w:val="nil"/>
            </w:tcBorders>
          </w:tcPr>
          <w:p w14:paraId="4B8D40DD"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DE"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Institution Number</w:t>
            </w:r>
          </w:p>
        </w:tc>
      </w:tr>
      <w:tr w:rsidR="00CB3807" w:rsidRPr="00A263FC" w14:paraId="4B8D40E6" w14:textId="77777777" w:rsidTr="000A51AF">
        <w:tc>
          <w:tcPr>
            <w:tcW w:w="3369" w:type="dxa"/>
            <w:tcBorders>
              <w:top w:val="nil"/>
              <w:left w:val="nil"/>
              <w:right w:val="nil"/>
            </w:tcBorders>
          </w:tcPr>
          <w:p w14:paraId="4B8D40E0" w14:textId="77777777" w:rsidR="001E7E2B" w:rsidRPr="00A263FC" w:rsidRDefault="001E7E2B" w:rsidP="00064723">
            <w:pPr>
              <w:rPr>
                <w:rFonts w:ascii="BC Sans" w:hAnsi="BC Sans"/>
                <w:sz w:val="22"/>
                <w:szCs w:val="22"/>
                <w:lang w:val="en-CA" w:eastAsia="en-CA"/>
              </w:rPr>
            </w:pPr>
          </w:p>
          <w:p w14:paraId="4B8D40E1" w14:textId="70BB0A63" w:rsidR="00C55BA5" w:rsidRPr="00A263FC" w:rsidRDefault="00F95475" w:rsidP="00F95475">
            <w:pPr>
              <w:rPr>
                <w:rFonts w:ascii="BC Sans" w:hAnsi="BC Sans"/>
                <w:b/>
                <w:sz w:val="22"/>
                <w:szCs w:val="22"/>
                <w:lang w:val="en-CA" w:eastAsia="en-CA"/>
              </w:rPr>
            </w:pPr>
            <w:r w:rsidRPr="00A263FC">
              <w:rPr>
                <w:rFonts w:ascii="BC Sans" w:hAnsi="BC Sans"/>
                <w:b/>
                <w:sz w:val="22"/>
                <w:szCs w:val="22"/>
                <w:lang w:val="en-CA" w:eastAsia="en-CA"/>
              </w:rPr>
              <w:t>Tuition Refund</w:t>
            </w:r>
            <w:r w:rsidR="001E7E2B" w:rsidRPr="00A263FC">
              <w:rPr>
                <w:rFonts w:ascii="BC Sans" w:hAnsi="BC Sans"/>
                <w:b/>
                <w:sz w:val="22"/>
                <w:szCs w:val="22"/>
                <w:lang w:val="en-CA" w:eastAsia="en-CA"/>
              </w:rPr>
              <w:t xml:space="preserve"> Policy</w:t>
            </w:r>
          </w:p>
        </w:tc>
        <w:tc>
          <w:tcPr>
            <w:tcW w:w="283" w:type="dxa"/>
            <w:tcBorders>
              <w:top w:val="nil"/>
              <w:left w:val="nil"/>
              <w:bottom w:val="nil"/>
              <w:right w:val="nil"/>
            </w:tcBorders>
          </w:tcPr>
          <w:p w14:paraId="4B8D40E2" w14:textId="77777777" w:rsidR="00C55BA5" w:rsidRPr="00A263FC" w:rsidRDefault="00C55BA5" w:rsidP="00064723">
            <w:pPr>
              <w:rPr>
                <w:rFonts w:ascii="BC Sans" w:hAnsi="BC Sans"/>
                <w:b/>
                <w:sz w:val="22"/>
                <w:szCs w:val="22"/>
                <w:lang w:val="en-CA" w:eastAsia="en-CA"/>
              </w:rPr>
            </w:pPr>
          </w:p>
        </w:tc>
        <w:tc>
          <w:tcPr>
            <w:tcW w:w="2552" w:type="dxa"/>
            <w:tcBorders>
              <w:top w:val="nil"/>
              <w:left w:val="nil"/>
              <w:right w:val="nil"/>
            </w:tcBorders>
          </w:tcPr>
          <w:p w14:paraId="4C12AEC6" w14:textId="77777777" w:rsidR="00C55BA5" w:rsidRDefault="00C55BA5" w:rsidP="00064723">
            <w:pPr>
              <w:rPr>
                <w:rFonts w:ascii="BC Sans" w:hAnsi="BC Sans"/>
                <w:b/>
                <w:sz w:val="22"/>
                <w:szCs w:val="22"/>
                <w:lang w:val="en-CA" w:eastAsia="en-CA"/>
              </w:rPr>
            </w:pPr>
          </w:p>
          <w:p w14:paraId="4B8D40E3" w14:textId="4E9422D4"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April 25, 2014</w:t>
            </w:r>
          </w:p>
        </w:tc>
        <w:tc>
          <w:tcPr>
            <w:tcW w:w="283" w:type="dxa"/>
            <w:tcBorders>
              <w:top w:val="nil"/>
              <w:left w:val="nil"/>
              <w:bottom w:val="nil"/>
              <w:right w:val="nil"/>
            </w:tcBorders>
          </w:tcPr>
          <w:p w14:paraId="4B8D40E4" w14:textId="77777777" w:rsidR="00C55BA5" w:rsidRPr="00A263FC" w:rsidRDefault="00C55BA5" w:rsidP="00064723">
            <w:pPr>
              <w:rPr>
                <w:rFonts w:ascii="BC Sans" w:hAnsi="BC Sans"/>
                <w:b/>
                <w:sz w:val="22"/>
                <w:szCs w:val="22"/>
                <w:lang w:val="en-CA" w:eastAsia="en-CA"/>
              </w:rPr>
            </w:pPr>
          </w:p>
        </w:tc>
        <w:tc>
          <w:tcPr>
            <w:tcW w:w="2793" w:type="dxa"/>
            <w:tcBorders>
              <w:top w:val="nil"/>
              <w:left w:val="nil"/>
              <w:right w:val="nil"/>
            </w:tcBorders>
          </w:tcPr>
          <w:p w14:paraId="05FDC9B8" w14:textId="77777777" w:rsidR="00C55BA5" w:rsidRDefault="00C55BA5" w:rsidP="00064723">
            <w:pPr>
              <w:rPr>
                <w:rFonts w:ascii="BC Sans" w:hAnsi="BC Sans"/>
                <w:b/>
                <w:sz w:val="22"/>
                <w:szCs w:val="22"/>
                <w:lang w:val="en-CA" w:eastAsia="en-CA"/>
              </w:rPr>
            </w:pPr>
          </w:p>
          <w:p w14:paraId="4B8D40E5" w14:textId="02D5D010" w:rsidR="00F76787" w:rsidRPr="00F76787" w:rsidRDefault="00F76787" w:rsidP="00F76787">
            <w:pPr>
              <w:rPr>
                <w:rFonts w:ascii="BC Sans" w:hAnsi="BC Sans"/>
                <w:sz w:val="22"/>
                <w:szCs w:val="22"/>
                <w:lang w:val="en-CA" w:eastAsia="en-CA"/>
              </w:rPr>
            </w:pPr>
            <w:r>
              <w:rPr>
                <w:rFonts w:ascii="BC Sans" w:hAnsi="BC Sans"/>
                <w:sz w:val="22"/>
                <w:szCs w:val="22"/>
                <w:lang w:val="en-CA" w:eastAsia="en-CA"/>
              </w:rPr>
              <w:t>September 03, 2025</w:t>
            </w:r>
          </w:p>
        </w:tc>
      </w:tr>
      <w:tr w:rsidR="00DD023E" w:rsidRPr="00A263FC" w14:paraId="4B8D40EC" w14:textId="77777777" w:rsidTr="000A51AF">
        <w:tc>
          <w:tcPr>
            <w:tcW w:w="3369" w:type="dxa"/>
            <w:tcBorders>
              <w:left w:val="nil"/>
              <w:bottom w:val="nil"/>
              <w:right w:val="nil"/>
            </w:tcBorders>
          </w:tcPr>
          <w:p w14:paraId="4B8D40E7"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Policy</w:t>
            </w:r>
          </w:p>
        </w:tc>
        <w:tc>
          <w:tcPr>
            <w:tcW w:w="283" w:type="dxa"/>
            <w:tcBorders>
              <w:top w:val="nil"/>
              <w:left w:val="nil"/>
              <w:bottom w:val="nil"/>
              <w:right w:val="nil"/>
            </w:tcBorders>
          </w:tcPr>
          <w:p w14:paraId="4B8D40E8" w14:textId="77777777" w:rsidR="00DD023E" w:rsidRPr="00A263FC" w:rsidRDefault="00DD023E" w:rsidP="00DD023E">
            <w:pPr>
              <w:rPr>
                <w:rFonts w:ascii="BC Sans" w:hAnsi="BC Sans"/>
                <w:sz w:val="22"/>
                <w:szCs w:val="22"/>
                <w:lang w:val="en-CA" w:eastAsia="en-CA"/>
              </w:rPr>
            </w:pPr>
          </w:p>
        </w:tc>
        <w:tc>
          <w:tcPr>
            <w:tcW w:w="2552" w:type="dxa"/>
            <w:tcBorders>
              <w:left w:val="nil"/>
              <w:bottom w:val="nil"/>
              <w:right w:val="nil"/>
            </w:tcBorders>
          </w:tcPr>
          <w:p w14:paraId="4B8D40E9"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Effective Date</w:t>
            </w:r>
          </w:p>
        </w:tc>
        <w:tc>
          <w:tcPr>
            <w:tcW w:w="283" w:type="dxa"/>
            <w:tcBorders>
              <w:top w:val="nil"/>
              <w:left w:val="nil"/>
              <w:bottom w:val="nil"/>
              <w:right w:val="nil"/>
            </w:tcBorders>
          </w:tcPr>
          <w:p w14:paraId="4B8D40EA" w14:textId="77777777" w:rsidR="00DD023E" w:rsidRPr="00A263FC" w:rsidRDefault="00DD023E" w:rsidP="00DD023E">
            <w:pPr>
              <w:rPr>
                <w:rFonts w:ascii="BC Sans" w:hAnsi="BC Sans"/>
                <w:sz w:val="22"/>
                <w:szCs w:val="22"/>
                <w:lang w:val="en-CA" w:eastAsia="en-CA"/>
              </w:rPr>
            </w:pPr>
          </w:p>
        </w:tc>
        <w:tc>
          <w:tcPr>
            <w:tcW w:w="2793" w:type="dxa"/>
            <w:tcBorders>
              <w:left w:val="nil"/>
              <w:bottom w:val="nil"/>
              <w:right w:val="nil"/>
            </w:tcBorders>
          </w:tcPr>
          <w:p w14:paraId="4B8D40EB"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Revision Date</w:t>
            </w:r>
          </w:p>
        </w:tc>
      </w:tr>
      <w:tr w:rsidR="00DD023E" w:rsidRPr="00A263FC" w14:paraId="4B8D40EF" w14:textId="77777777" w:rsidTr="00CB3807">
        <w:tc>
          <w:tcPr>
            <w:tcW w:w="9280" w:type="dxa"/>
            <w:gridSpan w:val="5"/>
            <w:tcBorders>
              <w:top w:val="nil"/>
              <w:left w:val="nil"/>
              <w:right w:val="nil"/>
            </w:tcBorders>
          </w:tcPr>
          <w:p w14:paraId="4B8D40ED" w14:textId="77777777" w:rsidR="00DD023E" w:rsidRPr="00A263FC" w:rsidRDefault="00DD023E" w:rsidP="00DD023E">
            <w:pPr>
              <w:rPr>
                <w:rFonts w:ascii="BC Sans" w:hAnsi="BC Sans"/>
                <w:sz w:val="22"/>
                <w:szCs w:val="22"/>
                <w:lang w:val="en-CA" w:eastAsia="en-CA"/>
              </w:rPr>
            </w:pPr>
          </w:p>
          <w:p w14:paraId="4B8D40EE" w14:textId="5A14AB69" w:rsidR="001E7E2B" w:rsidRPr="00A263FC" w:rsidRDefault="00F76787" w:rsidP="00DD023E">
            <w:pPr>
              <w:rPr>
                <w:rFonts w:ascii="BC Sans" w:hAnsi="BC Sans"/>
                <w:sz w:val="22"/>
                <w:szCs w:val="22"/>
                <w:lang w:val="en-CA" w:eastAsia="en-CA"/>
              </w:rPr>
            </w:pPr>
            <w:r>
              <w:rPr>
                <w:rFonts w:ascii="BC Sans" w:hAnsi="BC Sans"/>
                <w:sz w:val="22"/>
                <w:szCs w:val="22"/>
                <w:lang w:val="en-CA" w:eastAsia="en-CA"/>
              </w:rPr>
              <w:t xml:space="preserve">Communication and Customer Service with COOP </w:t>
            </w:r>
          </w:p>
        </w:tc>
      </w:tr>
      <w:tr w:rsidR="00DD023E" w:rsidRPr="00A263FC" w14:paraId="4B8D40F1" w14:textId="77777777" w:rsidTr="00CB3807">
        <w:tc>
          <w:tcPr>
            <w:tcW w:w="9280" w:type="dxa"/>
            <w:gridSpan w:val="5"/>
            <w:tcBorders>
              <w:left w:val="nil"/>
              <w:bottom w:val="nil"/>
              <w:right w:val="nil"/>
            </w:tcBorders>
          </w:tcPr>
          <w:p w14:paraId="4B8D40F0" w14:textId="77777777" w:rsidR="00DD023E" w:rsidRPr="00A263FC" w:rsidRDefault="00DD023E" w:rsidP="00DD023E">
            <w:pPr>
              <w:rPr>
                <w:rFonts w:ascii="BC Sans" w:hAnsi="BC Sans"/>
                <w:sz w:val="22"/>
                <w:szCs w:val="22"/>
                <w:lang w:val="en-CA" w:eastAsia="en-CA"/>
              </w:rPr>
            </w:pPr>
            <w:r w:rsidRPr="00A263FC">
              <w:rPr>
                <w:rFonts w:ascii="BC Sans" w:hAnsi="BC Sans"/>
                <w:sz w:val="22"/>
                <w:szCs w:val="22"/>
                <w:lang w:val="en-CA" w:eastAsia="en-CA"/>
              </w:rPr>
              <w:t>Name of Program</w:t>
            </w:r>
          </w:p>
        </w:tc>
      </w:tr>
    </w:tbl>
    <w:p w14:paraId="4B8D40FB" w14:textId="77777777" w:rsidR="00C57028" w:rsidRPr="00A263FC" w:rsidRDefault="00C57028" w:rsidP="004A6434">
      <w:pPr>
        <w:jc w:val="both"/>
        <w:rPr>
          <w:rFonts w:ascii="BC Sans" w:hAnsi="BC Sans"/>
          <w:b/>
          <w:color w:val="4F81BD" w:themeColor="accent1"/>
          <w:sz w:val="22"/>
          <w:szCs w:val="22"/>
        </w:rPr>
      </w:pPr>
    </w:p>
    <w:p w14:paraId="1503F221" w14:textId="77777777" w:rsidR="00F84409" w:rsidRDefault="00F84409" w:rsidP="00F84409">
      <w:pPr>
        <w:rPr>
          <w:rFonts w:ascii="BC Sans" w:hAnsi="BC Sans" w:cstheme="minorHAnsi"/>
          <w:sz w:val="22"/>
          <w:szCs w:val="22"/>
        </w:rPr>
      </w:pPr>
    </w:p>
    <w:tbl>
      <w:tblPr>
        <w:tblStyle w:val="TableGrid1"/>
        <w:tblW w:w="9605" w:type="dxa"/>
        <w:tblLook w:val="04A0" w:firstRow="1" w:lastRow="0" w:firstColumn="1" w:lastColumn="0" w:noHBand="0" w:noVBand="1"/>
      </w:tblPr>
      <w:tblGrid>
        <w:gridCol w:w="6737"/>
        <w:gridCol w:w="2868"/>
      </w:tblGrid>
      <w:tr w:rsidR="002F04A3" w:rsidRPr="002F04A3" w14:paraId="51E4AC58" w14:textId="77777777" w:rsidTr="002F04A3">
        <w:trPr>
          <w:trHeight w:val="597"/>
          <w:tblHeader/>
        </w:trPr>
        <w:tc>
          <w:tcPr>
            <w:tcW w:w="6737" w:type="dxa"/>
            <w:shd w:val="clear" w:color="auto" w:fill="B1C6D7"/>
          </w:tcPr>
          <w:p w14:paraId="295E4408" w14:textId="77777777" w:rsidR="002F04A3" w:rsidRPr="002F04A3" w:rsidRDefault="002F04A3" w:rsidP="002F04A3">
            <w:pPr>
              <w:spacing w:before="120" w:after="120" w:line="276" w:lineRule="auto"/>
              <w:rPr>
                <w:sz w:val="22"/>
                <w:szCs w:val="22"/>
                <w:lang w:val="en-CA"/>
              </w:rPr>
            </w:pPr>
            <w:bookmarkStart w:id="0" w:name="_Hlk171887197"/>
            <w:r w:rsidRPr="002F04A3">
              <w:rPr>
                <w:b/>
                <w:sz w:val="22"/>
                <w:szCs w:val="22"/>
                <w:lang w:val="en-CA"/>
              </w:rPr>
              <w:t>Approved Programs – In-class, Combined Delivery, or Synchronous Distance Delivery</w:t>
            </w:r>
          </w:p>
        </w:tc>
        <w:tc>
          <w:tcPr>
            <w:tcW w:w="2868" w:type="dxa"/>
            <w:shd w:val="clear" w:color="auto" w:fill="B1C6D7"/>
          </w:tcPr>
          <w:p w14:paraId="2064B0F0"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8411C8C" w14:textId="77777777" w:rsidTr="002F04A3">
        <w:tc>
          <w:tcPr>
            <w:tcW w:w="9605" w:type="dxa"/>
            <w:gridSpan w:val="2"/>
            <w:shd w:val="clear" w:color="auto" w:fill="D9D9D9"/>
          </w:tcPr>
          <w:p w14:paraId="4CB49EE9" w14:textId="2250E180" w:rsidR="002F04A3" w:rsidRPr="002F04A3" w:rsidRDefault="002F04A3" w:rsidP="002F04A3">
            <w:pPr>
              <w:spacing w:before="60" w:after="60" w:line="276" w:lineRule="auto"/>
              <w:rPr>
                <w:sz w:val="22"/>
                <w:szCs w:val="22"/>
                <w:lang w:val="en-CA"/>
              </w:rPr>
            </w:pPr>
            <w:r w:rsidRPr="002F04A3">
              <w:rPr>
                <w:sz w:val="22"/>
                <w:szCs w:val="22"/>
                <w:lang w:val="en-CA"/>
              </w:rPr>
              <w:t>Before program start date, institution receives a notice of withdrawal</w:t>
            </w:r>
            <w:r w:rsidR="00BA00AB">
              <w:rPr>
                <w:sz w:val="22"/>
                <w:szCs w:val="22"/>
                <w:lang w:val="en-CA"/>
              </w:rPr>
              <w:t xml:space="preserve"> or provides a notice of dismissal</w:t>
            </w:r>
            <w:r w:rsidRPr="002F04A3">
              <w:rPr>
                <w:sz w:val="22"/>
                <w:szCs w:val="22"/>
                <w:lang w:val="en-CA"/>
              </w:rPr>
              <w:t xml:space="preserve">: </w:t>
            </w:r>
          </w:p>
        </w:tc>
      </w:tr>
      <w:tr w:rsidR="002F04A3" w:rsidRPr="002F04A3" w14:paraId="3243674D" w14:textId="77777777" w:rsidTr="00E908F4">
        <w:trPr>
          <w:trHeight w:val="2393"/>
        </w:trPr>
        <w:tc>
          <w:tcPr>
            <w:tcW w:w="6737" w:type="dxa"/>
          </w:tcPr>
          <w:p w14:paraId="04F100C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2CB78492"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68" w:type="dxa"/>
          </w:tcPr>
          <w:p w14:paraId="1765AA4F"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unused aircraft utilization fees.</w:t>
            </w:r>
          </w:p>
        </w:tc>
      </w:tr>
      <w:tr w:rsidR="00BA00AB" w:rsidRPr="002F04A3" w14:paraId="0F548D4C" w14:textId="77777777" w:rsidTr="00E908F4">
        <w:trPr>
          <w:trHeight w:val="2393"/>
        </w:trPr>
        <w:tc>
          <w:tcPr>
            <w:tcW w:w="6737" w:type="dxa"/>
          </w:tcPr>
          <w:p w14:paraId="41884BFB"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5F87FF2F" w14:textId="24D7B13B"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68" w:type="dxa"/>
          </w:tcPr>
          <w:p w14:paraId="7F558822" w14:textId="01B6DE22"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220D51A1" w14:textId="77777777" w:rsidTr="002F04A3">
        <w:trPr>
          <w:trHeight w:val="285"/>
        </w:trPr>
        <w:tc>
          <w:tcPr>
            <w:tcW w:w="9605" w:type="dxa"/>
            <w:gridSpan w:val="2"/>
            <w:shd w:val="clear" w:color="auto" w:fill="D9D9D9"/>
          </w:tcPr>
          <w:p w14:paraId="5EDEBD34" w14:textId="77777777" w:rsidR="00BA00AB" w:rsidRPr="002F04A3" w:rsidRDefault="00BA00AB" w:rsidP="00BA00AB">
            <w:pPr>
              <w:spacing w:before="60" w:after="60" w:line="276" w:lineRule="auto"/>
              <w:rPr>
                <w:sz w:val="22"/>
                <w:szCs w:val="22"/>
                <w:lang w:val="en-CA"/>
              </w:rPr>
            </w:pPr>
            <w:r w:rsidRPr="002F04A3">
              <w:rPr>
                <w:sz w:val="22"/>
                <w:szCs w:val="22"/>
                <w:lang w:val="en-CA"/>
              </w:rPr>
              <w:t>After the program start date, the institution provides a notice of dismissal or receive a notice of withdrawal (applies to all programs):</w:t>
            </w:r>
          </w:p>
        </w:tc>
      </w:tr>
      <w:tr w:rsidR="00BA00AB" w:rsidRPr="002F04A3" w14:paraId="65CB22DF" w14:textId="77777777" w:rsidTr="00E908F4">
        <w:trPr>
          <w:trHeight w:val="674"/>
        </w:trPr>
        <w:tc>
          <w:tcPr>
            <w:tcW w:w="6737" w:type="dxa"/>
          </w:tcPr>
          <w:p w14:paraId="4B79CF9A" w14:textId="77777777" w:rsidR="00BA00AB" w:rsidRDefault="00BA00AB" w:rsidP="00BA00AB">
            <w:pPr>
              <w:numPr>
                <w:ilvl w:val="0"/>
                <w:numId w:val="22"/>
              </w:numPr>
              <w:spacing w:before="60" w:after="60" w:line="276" w:lineRule="auto"/>
              <w:contextualSpacing/>
              <w:rPr>
                <w:sz w:val="22"/>
                <w:szCs w:val="22"/>
                <w:lang w:val="en-CA"/>
              </w:rPr>
            </w:pPr>
            <w:r w:rsidRPr="002F04A3">
              <w:rPr>
                <w:sz w:val="22"/>
                <w:szCs w:val="22"/>
                <w:lang w:val="en-CA"/>
              </w:rPr>
              <w:t>No later than seven days after the program start date, the institution provides a notice of dismissal or receives a notice of withdrawal</w:t>
            </w:r>
          </w:p>
          <w:p w14:paraId="6EA007E5" w14:textId="77777777" w:rsidR="00681300" w:rsidRPr="00681300" w:rsidRDefault="00681300" w:rsidP="00681300">
            <w:pPr>
              <w:rPr>
                <w:sz w:val="22"/>
                <w:szCs w:val="22"/>
                <w:lang w:val="en-CA"/>
              </w:rPr>
            </w:pPr>
          </w:p>
          <w:p w14:paraId="740149E1" w14:textId="58C38D1E" w:rsidR="00681300" w:rsidRPr="00681300" w:rsidDel="00D20F32" w:rsidRDefault="00681300" w:rsidP="00681300">
            <w:pPr>
              <w:tabs>
                <w:tab w:val="left" w:pos="1580"/>
              </w:tabs>
              <w:rPr>
                <w:sz w:val="22"/>
                <w:szCs w:val="22"/>
                <w:lang w:val="en-CA"/>
              </w:rPr>
            </w:pPr>
          </w:p>
        </w:tc>
        <w:tc>
          <w:tcPr>
            <w:tcW w:w="2868" w:type="dxa"/>
          </w:tcPr>
          <w:p w14:paraId="707C2603" w14:textId="77777777" w:rsidR="00BA00AB" w:rsidRPr="002F04A3" w:rsidDel="00D20F32"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1BEB2006" w14:textId="77777777" w:rsidTr="002F04A3">
        <w:tc>
          <w:tcPr>
            <w:tcW w:w="9605" w:type="dxa"/>
            <w:gridSpan w:val="2"/>
            <w:shd w:val="clear" w:color="auto" w:fill="D9D9D9"/>
          </w:tcPr>
          <w:p w14:paraId="3D05A080" w14:textId="77777777" w:rsidR="00BA00AB" w:rsidRPr="002F04A3" w:rsidRDefault="00BA00AB" w:rsidP="00BA00AB">
            <w:pPr>
              <w:spacing w:before="60" w:after="60" w:line="276" w:lineRule="auto"/>
              <w:rPr>
                <w:sz w:val="22"/>
                <w:szCs w:val="22"/>
                <w:lang w:val="en-CA"/>
              </w:rPr>
            </w:pPr>
            <w:r w:rsidRPr="002F04A3">
              <w:rPr>
                <w:sz w:val="22"/>
                <w:szCs w:val="22"/>
                <w:lang w:val="en-CA"/>
              </w:rPr>
              <w:lastRenderedPageBreak/>
              <w:t xml:space="preserve">After program start date, institution provides a notice of dismissal or receives a notice of </w:t>
            </w:r>
            <w:proofErr w:type="gramStart"/>
            <w:r w:rsidRPr="002F04A3">
              <w:rPr>
                <w:sz w:val="22"/>
                <w:szCs w:val="22"/>
                <w:lang w:val="en-CA"/>
              </w:rPr>
              <w:t>withdrawal  (</w:t>
            </w:r>
            <w:proofErr w:type="gramEnd"/>
            <w:r w:rsidRPr="002F04A3">
              <w:rPr>
                <w:sz w:val="22"/>
                <w:szCs w:val="22"/>
                <w:lang w:val="en-CA"/>
              </w:rPr>
              <w:t xml:space="preserve">applies to all approved programs, other than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7EE736CA" w14:textId="77777777" w:rsidTr="00E908F4">
        <w:trPr>
          <w:trHeight w:val="736"/>
        </w:trPr>
        <w:tc>
          <w:tcPr>
            <w:tcW w:w="6737" w:type="dxa"/>
          </w:tcPr>
          <w:p w14:paraId="263851A2"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up to and including 10% of instruction hours have been provided. </w:t>
            </w:r>
          </w:p>
        </w:tc>
        <w:tc>
          <w:tcPr>
            <w:tcW w:w="2868" w:type="dxa"/>
          </w:tcPr>
          <w:p w14:paraId="59A08A51"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10% of tuition paid or payable under a contract. </w:t>
            </w:r>
          </w:p>
        </w:tc>
      </w:tr>
      <w:tr w:rsidR="00BA00AB" w:rsidRPr="002F04A3" w14:paraId="61C45798" w14:textId="77777777" w:rsidTr="00E908F4">
        <w:trPr>
          <w:trHeight w:val="832"/>
        </w:trPr>
        <w:tc>
          <w:tcPr>
            <w:tcW w:w="6737" w:type="dxa"/>
          </w:tcPr>
          <w:p w14:paraId="072DDCC5"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w:t>
            </w:r>
            <w:r w:rsidRPr="002F04A3" w:rsidDel="00F830C7">
              <w:rPr>
                <w:kern w:val="2"/>
                <w:sz w:val="22"/>
                <w:szCs w:val="22"/>
              </w:rPr>
              <w:t>10%</w:t>
            </w:r>
            <w:r w:rsidRPr="002F04A3">
              <w:rPr>
                <w:kern w:val="2"/>
                <w:sz w:val="22"/>
                <w:szCs w:val="22"/>
              </w:rPr>
              <w:t xml:space="preserve"> but before </w:t>
            </w:r>
            <w:r w:rsidRPr="002F04A3" w:rsidDel="00F830C7">
              <w:rPr>
                <w:kern w:val="2"/>
                <w:sz w:val="22"/>
                <w:szCs w:val="22"/>
              </w:rPr>
              <w:t>30%</w:t>
            </w:r>
            <w:r w:rsidRPr="002F04A3">
              <w:rPr>
                <w:kern w:val="2"/>
                <w:sz w:val="22"/>
                <w:szCs w:val="22"/>
              </w:rPr>
              <w:t xml:space="preserve"> of instruction hours have been provided. </w:t>
            </w:r>
          </w:p>
        </w:tc>
        <w:tc>
          <w:tcPr>
            <w:tcW w:w="2868" w:type="dxa"/>
          </w:tcPr>
          <w:p w14:paraId="057B2EF0"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30% of tuition paid or payable under a contract. </w:t>
            </w:r>
          </w:p>
        </w:tc>
      </w:tr>
      <w:tr w:rsidR="00BA00AB" w:rsidRPr="002F04A3" w14:paraId="3F940663" w14:textId="77777777" w:rsidTr="00E908F4">
        <w:trPr>
          <w:trHeight w:val="832"/>
        </w:trPr>
        <w:tc>
          <w:tcPr>
            <w:tcW w:w="6737" w:type="dxa"/>
          </w:tcPr>
          <w:p w14:paraId="44615B14"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30% but before 50% of instruction hours </w:t>
            </w:r>
            <w:proofErr w:type="gramStart"/>
            <w:r w:rsidRPr="002F04A3">
              <w:rPr>
                <w:kern w:val="2"/>
                <w:sz w:val="22"/>
                <w:szCs w:val="22"/>
              </w:rPr>
              <w:t>have been</w:t>
            </w:r>
            <w:proofErr w:type="gramEnd"/>
            <w:r w:rsidRPr="002F04A3">
              <w:rPr>
                <w:kern w:val="2"/>
                <w:sz w:val="22"/>
                <w:szCs w:val="22"/>
              </w:rPr>
              <w:t xml:space="preserve"> provided. </w:t>
            </w:r>
          </w:p>
        </w:tc>
        <w:tc>
          <w:tcPr>
            <w:tcW w:w="2868" w:type="dxa"/>
          </w:tcPr>
          <w:p w14:paraId="65EFE794" w14:textId="77777777" w:rsidR="00BA00AB" w:rsidRPr="002F04A3" w:rsidRDefault="00BA00AB" w:rsidP="00BA00AB">
            <w:pPr>
              <w:spacing w:before="60" w:after="60" w:line="276" w:lineRule="auto"/>
              <w:rPr>
                <w:sz w:val="22"/>
                <w:szCs w:val="22"/>
                <w:lang w:val="en-CA"/>
              </w:rPr>
            </w:pPr>
            <w:r w:rsidRPr="002F04A3">
              <w:rPr>
                <w:sz w:val="22"/>
                <w:szCs w:val="22"/>
                <w:lang w:val="en-CA"/>
              </w:rPr>
              <w:t xml:space="preserve">Institution may retain up to 50% of tuition paid or payable under a contract. </w:t>
            </w:r>
          </w:p>
        </w:tc>
      </w:tr>
      <w:tr w:rsidR="00BA00AB" w:rsidRPr="002F04A3" w14:paraId="4A0DC628" w14:textId="77777777" w:rsidTr="00E908F4">
        <w:trPr>
          <w:trHeight w:val="832"/>
        </w:trPr>
        <w:tc>
          <w:tcPr>
            <w:tcW w:w="6737" w:type="dxa"/>
          </w:tcPr>
          <w:p w14:paraId="2CC5D3D7" w14:textId="77777777" w:rsidR="00BA00AB" w:rsidRPr="002F04A3" w:rsidRDefault="00BA00AB" w:rsidP="00BA00AB">
            <w:pPr>
              <w:numPr>
                <w:ilvl w:val="0"/>
                <w:numId w:val="22"/>
              </w:numPr>
              <w:spacing w:before="60" w:after="60" w:line="260" w:lineRule="atLeast"/>
              <w:rPr>
                <w:kern w:val="2"/>
                <w:sz w:val="22"/>
                <w:szCs w:val="22"/>
              </w:rPr>
            </w:pPr>
            <w:r w:rsidRPr="002F04A3">
              <w:rPr>
                <w:kern w:val="2"/>
                <w:sz w:val="22"/>
                <w:szCs w:val="22"/>
              </w:rPr>
              <w:t xml:space="preserve">After the program start date, and after more than 50% of instruction hours have been provided.  </w:t>
            </w:r>
          </w:p>
        </w:tc>
        <w:tc>
          <w:tcPr>
            <w:tcW w:w="2868" w:type="dxa"/>
          </w:tcPr>
          <w:p w14:paraId="3C5CAAB5"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r w:rsidR="002F04A3" w:rsidRPr="002F04A3" w14:paraId="1250D229" w14:textId="77777777" w:rsidTr="002F04A3">
        <w:tc>
          <w:tcPr>
            <w:tcW w:w="9605" w:type="dxa"/>
            <w:gridSpan w:val="2"/>
            <w:shd w:val="clear" w:color="auto" w:fill="D9D9D9"/>
          </w:tcPr>
          <w:p w14:paraId="494C61CD" w14:textId="6109975B" w:rsidR="002F04A3" w:rsidRPr="002F04A3" w:rsidRDefault="002F04A3" w:rsidP="002F04A3">
            <w:pPr>
              <w:spacing w:before="60" w:after="60" w:line="276" w:lineRule="auto"/>
              <w:rPr>
                <w:sz w:val="22"/>
                <w:szCs w:val="22"/>
                <w:lang w:val="en-CA"/>
              </w:rPr>
            </w:pPr>
            <w:r w:rsidRPr="002F04A3">
              <w:rPr>
                <w:sz w:val="22"/>
                <w:szCs w:val="22"/>
                <w:lang w:val="en-CA"/>
              </w:rPr>
              <w:br w:type="page"/>
              <w:t>Student does not attend – “no-show” (applies to all students except those enrolled in a program delivered solely by asynchronous distance education):</w:t>
            </w:r>
          </w:p>
        </w:tc>
      </w:tr>
      <w:tr w:rsidR="002F04A3" w:rsidRPr="002F04A3" w14:paraId="6FFBAFDD" w14:textId="77777777" w:rsidTr="00E908F4">
        <w:tc>
          <w:tcPr>
            <w:tcW w:w="6737" w:type="dxa"/>
            <w:tcBorders>
              <w:bottom w:val="single" w:sz="4" w:space="0" w:color="auto"/>
            </w:tcBorders>
          </w:tcPr>
          <w:p w14:paraId="419B3CD2"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lang w:val="en-CA"/>
              </w:rPr>
              <w:t xml:space="preserve">A student does not attend the first 30% of the program.  </w:t>
            </w:r>
          </w:p>
        </w:tc>
        <w:tc>
          <w:tcPr>
            <w:tcW w:w="2868" w:type="dxa"/>
            <w:tcBorders>
              <w:bottom w:val="single" w:sz="4" w:space="0" w:color="auto"/>
            </w:tcBorders>
          </w:tcPr>
          <w:p w14:paraId="7B791A87" w14:textId="77777777" w:rsidR="002F04A3" w:rsidRPr="002F04A3" w:rsidRDefault="002F04A3" w:rsidP="002F04A3">
            <w:pPr>
              <w:spacing w:before="60" w:after="60" w:line="276" w:lineRule="auto"/>
              <w:rPr>
                <w:sz w:val="22"/>
                <w:szCs w:val="22"/>
                <w:lang w:val="en-CA"/>
              </w:rPr>
            </w:pPr>
            <w:r w:rsidRPr="002F04A3">
              <w:rPr>
                <w:sz w:val="22"/>
                <w:szCs w:val="22"/>
                <w:lang w:val="en-CA"/>
              </w:rPr>
              <w:t>Institution may retain up to 50% of the tuition paid under a contract.</w:t>
            </w:r>
          </w:p>
        </w:tc>
      </w:tr>
    </w:tbl>
    <w:p w14:paraId="2596B72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pPr w:leftFromText="180" w:rightFromText="180" w:vertAnchor="text" w:horzAnchor="margin" w:tblpY="18"/>
        <w:tblW w:w="9605" w:type="dxa"/>
        <w:tblLook w:val="04A0" w:firstRow="1" w:lastRow="0" w:firstColumn="1" w:lastColumn="0" w:noHBand="0" w:noVBand="1"/>
      </w:tblPr>
      <w:tblGrid>
        <w:gridCol w:w="6799"/>
        <w:gridCol w:w="2806"/>
      </w:tblGrid>
      <w:tr w:rsidR="002F04A3" w:rsidRPr="002F04A3" w14:paraId="5BBD9457" w14:textId="77777777" w:rsidTr="002F04A3">
        <w:tc>
          <w:tcPr>
            <w:tcW w:w="6799" w:type="dxa"/>
            <w:tcBorders>
              <w:bottom w:val="single" w:sz="4" w:space="0" w:color="auto"/>
            </w:tcBorders>
            <w:shd w:val="clear" w:color="auto" w:fill="B1C6D7"/>
          </w:tcPr>
          <w:p w14:paraId="21FE5055" w14:textId="77777777" w:rsidR="002F04A3" w:rsidRPr="002F04A3" w:rsidRDefault="002F04A3" w:rsidP="002F04A3">
            <w:pPr>
              <w:tabs>
                <w:tab w:val="left" w:pos="567"/>
              </w:tabs>
              <w:spacing w:before="120" w:after="120" w:line="276" w:lineRule="auto"/>
              <w:rPr>
                <w:sz w:val="22"/>
                <w:szCs w:val="22"/>
                <w:lang w:val="en-CA"/>
              </w:rPr>
            </w:pPr>
            <w:r w:rsidRPr="002F04A3">
              <w:rPr>
                <w:b/>
                <w:sz w:val="22"/>
                <w:szCs w:val="22"/>
                <w:lang w:val="en-CA"/>
              </w:rPr>
              <w:t>Approved Programs – In-class, Combined Delivery, or Synchronous Distance Delivery</w:t>
            </w:r>
          </w:p>
        </w:tc>
        <w:tc>
          <w:tcPr>
            <w:tcW w:w="2806" w:type="dxa"/>
            <w:tcBorders>
              <w:bottom w:val="single" w:sz="4" w:space="0" w:color="auto"/>
            </w:tcBorders>
            <w:shd w:val="clear" w:color="auto" w:fill="B1C6D7"/>
          </w:tcPr>
          <w:p w14:paraId="345C8095" w14:textId="77777777" w:rsidR="002F04A3" w:rsidRPr="002F04A3" w:rsidRDefault="002F04A3" w:rsidP="002F04A3">
            <w:pPr>
              <w:tabs>
                <w:tab w:val="left" w:pos="567"/>
              </w:tabs>
              <w:spacing w:before="60" w:after="60" w:line="276" w:lineRule="auto"/>
              <w:rPr>
                <w:sz w:val="22"/>
                <w:szCs w:val="22"/>
                <w:lang w:val="en-CA"/>
              </w:rPr>
            </w:pPr>
            <w:r w:rsidRPr="002F04A3">
              <w:rPr>
                <w:b/>
                <w:sz w:val="22"/>
                <w:szCs w:val="22"/>
                <w:lang w:val="en-CA"/>
              </w:rPr>
              <w:t xml:space="preserve">Refund Due </w:t>
            </w:r>
          </w:p>
        </w:tc>
      </w:tr>
      <w:tr w:rsidR="002F04A3" w:rsidRPr="002F04A3" w14:paraId="3928C5FD" w14:textId="77777777" w:rsidTr="002F04A3">
        <w:tc>
          <w:tcPr>
            <w:tcW w:w="0" w:type="auto"/>
            <w:gridSpan w:val="2"/>
            <w:tcBorders>
              <w:bottom w:val="single" w:sz="4" w:space="0" w:color="auto"/>
            </w:tcBorders>
            <w:shd w:val="clear" w:color="auto" w:fill="D9D9D9"/>
          </w:tcPr>
          <w:p w14:paraId="12F0C100"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 xml:space="preserve">Institution receives a refusal of study permit (applies to international students requiring a study permit): </w:t>
            </w:r>
          </w:p>
        </w:tc>
      </w:tr>
      <w:tr w:rsidR="002F04A3" w:rsidRPr="002F04A3" w14:paraId="13CE28A2" w14:textId="77777777" w:rsidTr="00E908F4">
        <w:trPr>
          <w:trHeight w:val="2028"/>
        </w:trPr>
        <w:tc>
          <w:tcPr>
            <w:tcW w:w="6799" w:type="dxa"/>
          </w:tcPr>
          <w:p w14:paraId="6C403C18" w14:textId="77777777" w:rsidR="002F04A3" w:rsidRPr="002F04A3" w:rsidRDefault="002F04A3" w:rsidP="002F04A3">
            <w:pPr>
              <w:numPr>
                <w:ilvl w:val="0"/>
                <w:numId w:val="22"/>
              </w:numPr>
              <w:spacing w:before="60" w:after="60" w:line="260" w:lineRule="atLeast"/>
              <w:rPr>
                <w:kern w:val="2"/>
                <w:sz w:val="22"/>
                <w:szCs w:val="22"/>
              </w:rPr>
            </w:pPr>
            <w:r w:rsidRPr="002F04A3">
              <w:rPr>
                <w:kern w:val="2"/>
                <w:sz w:val="22"/>
                <w:szCs w:val="22"/>
              </w:rPr>
              <w:t>Before 30% of instruction hours would have been provided, had the student started the program on the later of the following:</w:t>
            </w:r>
          </w:p>
          <w:p w14:paraId="774E65F8" w14:textId="77777777" w:rsidR="002F04A3" w:rsidRPr="002F04A3" w:rsidRDefault="002F04A3" w:rsidP="002F04A3">
            <w:pPr>
              <w:numPr>
                <w:ilvl w:val="0"/>
                <w:numId w:val="25"/>
              </w:numPr>
              <w:spacing w:before="60" w:after="60" w:line="260" w:lineRule="atLeast"/>
              <w:rPr>
                <w:rFonts w:cs="Calibri"/>
                <w:kern w:val="2"/>
                <w:sz w:val="22"/>
                <w:szCs w:val="22"/>
              </w:rPr>
            </w:pPr>
            <w:r w:rsidRPr="002F04A3">
              <w:rPr>
                <w:kern w:val="2"/>
                <w:sz w:val="22"/>
                <w:szCs w:val="22"/>
              </w:rPr>
              <w:t xml:space="preserve">The program </w:t>
            </w:r>
            <w:proofErr w:type="gramStart"/>
            <w:r w:rsidRPr="002F04A3">
              <w:rPr>
                <w:kern w:val="2"/>
                <w:sz w:val="22"/>
                <w:szCs w:val="22"/>
              </w:rPr>
              <w:t>start date</w:t>
            </w:r>
            <w:proofErr w:type="gramEnd"/>
            <w:r w:rsidRPr="002F04A3">
              <w:rPr>
                <w:kern w:val="2"/>
                <w:sz w:val="22"/>
                <w:szCs w:val="22"/>
              </w:rPr>
              <w:t xml:space="preserve"> in the most recent Letter of Acceptance </w:t>
            </w:r>
          </w:p>
          <w:p w14:paraId="15AAC1AC" w14:textId="77777777" w:rsidR="002F04A3" w:rsidRPr="002F04A3" w:rsidRDefault="002F04A3" w:rsidP="002F04A3">
            <w:pPr>
              <w:numPr>
                <w:ilvl w:val="0"/>
                <w:numId w:val="25"/>
              </w:numPr>
              <w:spacing w:before="60" w:after="60" w:line="260" w:lineRule="atLeast"/>
              <w:rPr>
                <w:kern w:val="2"/>
                <w:sz w:val="22"/>
                <w:szCs w:val="22"/>
              </w:rPr>
            </w:pPr>
            <w:r w:rsidRPr="002F04A3">
              <w:rPr>
                <w:kern w:val="2"/>
                <w:sz w:val="22"/>
                <w:szCs w:val="22"/>
              </w:rPr>
              <w:t xml:space="preserve">The program start date in the enrolment contract </w:t>
            </w:r>
          </w:p>
          <w:p w14:paraId="52D4B096" w14:textId="77777777" w:rsidR="002F04A3" w:rsidRPr="002F04A3" w:rsidRDefault="002F04A3" w:rsidP="002F04A3">
            <w:pPr>
              <w:numPr>
                <w:ilvl w:val="0"/>
                <w:numId w:val="22"/>
              </w:numPr>
              <w:spacing w:before="60" w:after="60" w:line="260" w:lineRule="atLeast"/>
              <w:rPr>
                <w:kern w:val="2"/>
                <w:sz w:val="22"/>
                <w:szCs w:val="22"/>
              </w:rPr>
            </w:pPr>
            <w:proofErr w:type="gramStart"/>
            <w:r w:rsidRPr="002F04A3">
              <w:rPr>
                <w:kern w:val="2"/>
                <w:sz w:val="22"/>
                <w:szCs w:val="22"/>
              </w:rPr>
              <w:t>Student has</w:t>
            </w:r>
            <w:proofErr w:type="gramEnd"/>
            <w:r w:rsidRPr="002F04A3">
              <w:rPr>
                <w:kern w:val="2"/>
                <w:sz w:val="22"/>
                <w:szCs w:val="22"/>
              </w:rPr>
              <w:t xml:space="preserve"> not requested additional Letter(s) of Acceptance.</w:t>
            </w:r>
          </w:p>
        </w:tc>
        <w:tc>
          <w:tcPr>
            <w:tcW w:w="2806" w:type="dxa"/>
          </w:tcPr>
          <w:p w14:paraId="448740CF" w14:textId="77777777" w:rsidR="002F04A3" w:rsidRPr="002F04A3" w:rsidRDefault="002F04A3" w:rsidP="002F04A3">
            <w:pPr>
              <w:tabs>
                <w:tab w:val="left" w:pos="567"/>
              </w:tabs>
              <w:spacing w:before="60" w:after="60" w:line="276" w:lineRule="auto"/>
              <w:rPr>
                <w:rFonts w:cs="Calibri"/>
                <w:sz w:val="22"/>
                <w:szCs w:val="22"/>
                <w:lang w:val="en-CA"/>
              </w:rPr>
            </w:pPr>
            <w:r w:rsidRPr="002F04A3">
              <w:rPr>
                <w:sz w:val="22"/>
                <w:szCs w:val="22"/>
                <w:lang w:val="en-CA"/>
              </w:rPr>
              <w:t>100% tuition and all related fees, other than application fee.</w:t>
            </w:r>
          </w:p>
        </w:tc>
      </w:tr>
    </w:tbl>
    <w:p w14:paraId="66F983C0" w14:textId="77777777" w:rsidR="002F04A3" w:rsidRPr="002F04A3" w:rsidRDefault="002F04A3" w:rsidP="002F04A3">
      <w:pPr>
        <w:spacing w:after="120" w:line="276" w:lineRule="auto"/>
        <w:rPr>
          <w:rFonts w:ascii="Calibri" w:eastAsia="Calibri" w:hAnsi="Calibri"/>
          <w:sz w:val="22"/>
          <w:szCs w:val="22"/>
          <w:lang w:val="en-CA"/>
          <w14:ligatures w14:val="standardContextual"/>
        </w:rPr>
      </w:pPr>
    </w:p>
    <w:tbl>
      <w:tblPr>
        <w:tblStyle w:val="TableGrid1"/>
        <w:tblW w:w="9639" w:type="dxa"/>
        <w:tblInd w:w="-5" w:type="dxa"/>
        <w:tblLook w:val="04A0" w:firstRow="1" w:lastRow="0" w:firstColumn="1" w:lastColumn="0" w:noHBand="0" w:noVBand="1"/>
      </w:tblPr>
      <w:tblGrid>
        <w:gridCol w:w="6804"/>
        <w:gridCol w:w="2835"/>
      </w:tblGrid>
      <w:tr w:rsidR="002F04A3" w:rsidRPr="002F04A3" w14:paraId="60C45B17" w14:textId="77777777" w:rsidTr="002F04A3">
        <w:trPr>
          <w:trHeight w:val="597"/>
          <w:tblHeader/>
        </w:trPr>
        <w:tc>
          <w:tcPr>
            <w:tcW w:w="6804" w:type="dxa"/>
            <w:shd w:val="clear" w:color="auto" w:fill="B1C6D7"/>
          </w:tcPr>
          <w:p w14:paraId="0D403FBC" w14:textId="77777777" w:rsidR="002F04A3" w:rsidRPr="002F04A3" w:rsidRDefault="002F04A3" w:rsidP="002F04A3">
            <w:pPr>
              <w:spacing w:before="120" w:after="120" w:line="276" w:lineRule="auto"/>
              <w:rPr>
                <w:sz w:val="22"/>
                <w:szCs w:val="22"/>
                <w:lang w:val="en-CA"/>
              </w:rPr>
            </w:pPr>
            <w:r w:rsidRPr="002F04A3">
              <w:rPr>
                <w:b/>
                <w:sz w:val="22"/>
                <w:szCs w:val="22"/>
                <w:lang w:val="en-CA"/>
              </w:rPr>
              <w:lastRenderedPageBreak/>
              <w:t>Approved Programs – Solely Asynchronous Distance Delivery</w:t>
            </w:r>
          </w:p>
        </w:tc>
        <w:tc>
          <w:tcPr>
            <w:tcW w:w="2835" w:type="dxa"/>
            <w:shd w:val="clear" w:color="auto" w:fill="B1C6D7"/>
          </w:tcPr>
          <w:p w14:paraId="74D9C0BF"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36C123DD" w14:textId="77777777" w:rsidTr="002F04A3">
        <w:trPr>
          <w:trHeight w:val="473"/>
        </w:trPr>
        <w:tc>
          <w:tcPr>
            <w:tcW w:w="9639" w:type="dxa"/>
            <w:gridSpan w:val="2"/>
            <w:shd w:val="clear" w:color="auto" w:fill="D9D9D9"/>
          </w:tcPr>
          <w:p w14:paraId="67E77D5C"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Before program start date, institution receives a notice of withdrawal: </w:t>
            </w:r>
          </w:p>
        </w:tc>
      </w:tr>
      <w:tr w:rsidR="002F04A3" w:rsidRPr="002F04A3" w14:paraId="19A747B5" w14:textId="77777777" w:rsidTr="002F04A3">
        <w:trPr>
          <w:trHeight w:val="566"/>
        </w:trPr>
        <w:tc>
          <w:tcPr>
            <w:tcW w:w="6804" w:type="dxa"/>
            <w:shd w:val="clear" w:color="auto" w:fill="FFFFFF"/>
          </w:tcPr>
          <w:p w14:paraId="2A89AF47"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No later than seven days after student signed the enrolment contract, and </w:t>
            </w:r>
          </w:p>
          <w:p w14:paraId="7F15F009"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sz w:val="22"/>
                <w:szCs w:val="22"/>
                <w:lang w:val="en-CA"/>
              </w:rPr>
              <w:t xml:space="preserve">Before the program start date.  </w:t>
            </w:r>
          </w:p>
        </w:tc>
        <w:tc>
          <w:tcPr>
            <w:tcW w:w="2835" w:type="dxa"/>
            <w:shd w:val="clear" w:color="auto" w:fill="FFFFFF"/>
          </w:tcPr>
          <w:p w14:paraId="07A680C9" w14:textId="77777777" w:rsidR="002F04A3" w:rsidRPr="002F04A3" w:rsidRDefault="002F04A3" w:rsidP="002F04A3">
            <w:pPr>
              <w:spacing w:before="60" w:after="60" w:line="276" w:lineRule="auto"/>
              <w:rPr>
                <w:sz w:val="22"/>
                <w:szCs w:val="22"/>
                <w:lang w:val="en-CA"/>
              </w:rPr>
            </w:pPr>
            <w:r w:rsidRPr="002F04A3">
              <w:rPr>
                <w:sz w:val="22"/>
                <w:szCs w:val="22"/>
                <w:lang w:val="en-CA"/>
              </w:rPr>
              <w:t xml:space="preserve">100% of tuition and all related fees, other than application fee. Related fees </w:t>
            </w:r>
            <w:proofErr w:type="gramStart"/>
            <w:r w:rsidRPr="002F04A3">
              <w:rPr>
                <w:sz w:val="22"/>
                <w:szCs w:val="22"/>
                <w:lang w:val="en-CA"/>
              </w:rPr>
              <w:t>include:</w:t>
            </w:r>
            <w:proofErr w:type="gramEnd"/>
            <w:r w:rsidRPr="002F04A3">
              <w:rPr>
                <w:sz w:val="22"/>
                <w:szCs w:val="22"/>
                <w:lang w:val="en-CA"/>
              </w:rPr>
              <w:t xml:space="preserve"> administrative fees, application fees, assessment fees, and fees charged for textbooks or other course materials, and aircraft utilization fees.</w:t>
            </w:r>
          </w:p>
        </w:tc>
      </w:tr>
      <w:tr w:rsidR="00BA00AB" w:rsidRPr="002F04A3" w14:paraId="4E46AB96" w14:textId="77777777" w:rsidTr="002F04A3">
        <w:trPr>
          <w:trHeight w:val="566"/>
        </w:trPr>
        <w:tc>
          <w:tcPr>
            <w:tcW w:w="6804" w:type="dxa"/>
            <w:shd w:val="clear" w:color="auto" w:fill="FFFFFF"/>
          </w:tcPr>
          <w:p w14:paraId="0CCF46F5" w14:textId="77777777" w:rsidR="00BA00AB" w:rsidRPr="002A62D8" w:rsidRDefault="00BA00AB" w:rsidP="00BA00AB">
            <w:pPr>
              <w:pStyle w:val="ListParagraph"/>
              <w:numPr>
                <w:ilvl w:val="0"/>
                <w:numId w:val="21"/>
              </w:numPr>
              <w:spacing w:before="60" w:after="60"/>
              <w:contextualSpacing/>
            </w:pPr>
            <w:r w:rsidRPr="002A62D8">
              <w:t xml:space="preserve">More than seven days after </w:t>
            </w:r>
            <w:proofErr w:type="gramStart"/>
            <w:r w:rsidRPr="002A62D8">
              <w:t>student</w:t>
            </w:r>
            <w:proofErr w:type="gramEnd"/>
            <w:r w:rsidRPr="002A62D8">
              <w:t xml:space="preserve"> signed the enrolment contract, and </w:t>
            </w:r>
          </w:p>
          <w:p w14:paraId="25068526" w14:textId="06E1E55F" w:rsidR="00BA00AB" w:rsidRPr="002F04A3" w:rsidRDefault="00BA00AB" w:rsidP="00BA00AB">
            <w:pPr>
              <w:numPr>
                <w:ilvl w:val="0"/>
                <w:numId w:val="21"/>
              </w:numPr>
              <w:spacing w:before="60" w:after="60" w:line="276" w:lineRule="auto"/>
              <w:contextualSpacing/>
              <w:rPr>
                <w:sz w:val="22"/>
                <w:szCs w:val="22"/>
                <w:lang w:val="en-CA"/>
              </w:rPr>
            </w:pPr>
            <w:r w:rsidRPr="002A62D8">
              <w:t xml:space="preserve">Before the program </w:t>
            </w:r>
            <w:proofErr w:type="gramStart"/>
            <w:r w:rsidRPr="002A62D8">
              <w:t>start</w:t>
            </w:r>
            <w:proofErr w:type="gramEnd"/>
            <w:r w:rsidRPr="002A62D8">
              <w:t xml:space="preserve"> date.</w:t>
            </w:r>
          </w:p>
        </w:tc>
        <w:tc>
          <w:tcPr>
            <w:tcW w:w="2835" w:type="dxa"/>
            <w:shd w:val="clear" w:color="auto" w:fill="FFFFFF"/>
          </w:tcPr>
          <w:p w14:paraId="062ED8FA" w14:textId="2329221D" w:rsidR="00BA00AB" w:rsidRPr="002F04A3" w:rsidRDefault="00BA00AB" w:rsidP="00BA00AB">
            <w:pPr>
              <w:spacing w:before="60" w:after="60" w:line="276" w:lineRule="auto"/>
              <w:rPr>
                <w:sz w:val="22"/>
                <w:szCs w:val="22"/>
                <w:lang w:val="en-CA"/>
              </w:rPr>
            </w:pPr>
            <w:proofErr w:type="gramStart"/>
            <w:r w:rsidRPr="002A62D8">
              <w:t>Institution</w:t>
            </w:r>
            <w:proofErr w:type="gramEnd"/>
            <w:r w:rsidRPr="002A62D8">
              <w:t xml:space="preserve"> may retain up to 10% of tuition, to a maximum of $1,000 paid or payable under a contract.</w:t>
            </w:r>
          </w:p>
        </w:tc>
      </w:tr>
      <w:tr w:rsidR="00BA00AB" w:rsidRPr="002F04A3" w14:paraId="02418556" w14:textId="77777777" w:rsidTr="002F04A3">
        <w:trPr>
          <w:trHeight w:val="566"/>
        </w:trPr>
        <w:tc>
          <w:tcPr>
            <w:tcW w:w="9639" w:type="dxa"/>
            <w:gridSpan w:val="2"/>
            <w:shd w:val="clear" w:color="auto" w:fill="D9D9D9"/>
          </w:tcPr>
          <w:p w14:paraId="4176B66F" w14:textId="6A9C5D87" w:rsidR="00BA00AB" w:rsidRPr="002F04A3" w:rsidRDefault="00BA00AB" w:rsidP="00BA00AB">
            <w:pPr>
              <w:spacing w:before="60" w:after="60" w:line="276" w:lineRule="auto"/>
              <w:rPr>
                <w:sz w:val="22"/>
                <w:szCs w:val="22"/>
                <w:lang w:val="en-CA"/>
              </w:rPr>
            </w:pPr>
            <w:r w:rsidRPr="002F04A3">
              <w:rPr>
                <w:sz w:val="22"/>
                <w:szCs w:val="22"/>
                <w:lang w:val="en-CA"/>
              </w:rPr>
              <w:t xml:space="preserve">After program start date, institution provides a notice of dismissal or receives a notice of </w:t>
            </w:r>
            <w:r w:rsidR="00681300" w:rsidRPr="002F04A3">
              <w:rPr>
                <w:sz w:val="22"/>
                <w:szCs w:val="22"/>
                <w:lang w:val="en-CA"/>
              </w:rPr>
              <w:t>withdrawal (</w:t>
            </w:r>
            <w:r w:rsidRPr="002F04A3">
              <w:rPr>
                <w:sz w:val="22"/>
                <w:szCs w:val="22"/>
                <w:lang w:val="en-CA"/>
              </w:rPr>
              <w:t xml:space="preserve">applies to only approved </w:t>
            </w:r>
            <w:proofErr w:type="gramStart"/>
            <w:r w:rsidRPr="002F04A3">
              <w:rPr>
                <w:sz w:val="22"/>
                <w:szCs w:val="22"/>
                <w:lang w:val="en-CA"/>
              </w:rPr>
              <w:t>solely-asynchronous</w:t>
            </w:r>
            <w:proofErr w:type="gramEnd"/>
            <w:r w:rsidRPr="002F04A3">
              <w:rPr>
                <w:sz w:val="22"/>
                <w:szCs w:val="22"/>
                <w:lang w:val="en-CA"/>
              </w:rPr>
              <w:t xml:space="preserve"> distance-education-only programs):</w:t>
            </w:r>
          </w:p>
        </w:tc>
      </w:tr>
      <w:tr w:rsidR="00BA00AB" w:rsidRPr="002F04A3" w14:paraId="15A50D0F" w14:textId="77777777" w:rsidTr="00E908F4">
        <w:trPr>
          <w:trHeight w:val="566"/>
        </w:trPr>
        <w:tc>
          <w:tcPr>
            <w:tcW w:w="6804" w:type="dxa"/>
          </w:tcPr>
          <w:p w14:paraId="26A4F2E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No later than seven days after the program start date</w:t>
            </w:r>
          </w:p>
        </w:tc>
        <w:tc>
          <w:tcPr>
            <w:tcW w:w="2835" w:type="dxa"/>
          </w:tcPr>
          <w:p w14:paraId="21069C4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 of tuition, to a maximum of $1,000 paid or payable under a contract.</w:t>
            </w:r>
          </w:p>
        </w:tc>
      </w:tr>
      <w:tr w:rsidR="00BA00AB" w:rsidRPr="002F04A3" w14:paraId="0D4AB9BC" w14:textId="77777777" w:rsidTr="00E908F4">
        <w:trPr>
          <w:trHeight w:val="566"/>
        </w:trPr>
        <w:tc>
          <w:tcPr>
            <w:tcW w:w="6804" w:type="dxa"/>
          </w:tcPr>
          <w:p w14:paraId="77F2A8B3" w14:textId="2EB8BB32"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w:t>
            </w:r>
            <w:r w:rsidR="00681300" w:rsidRPr="002F04A3">
              <w:rPr>
                <w:sz w:val="22"/>
                <w:szCs w:val="22"/>
                <w:lang w:val="en-CA"/>
              </w:rPr>
              <w:t>% of</w:t>
            </w:r>
            <w:r w:rsidRPr="002F04A3">
              <w:rPr>
                <w:sz w:val="22"/>
                <w:szCs w:val="22"/>
                <w:lang w:val="en-CA"/>
              </w:rPr>
              <w:t xml:space="preserve"> the program </w:t>
            </w:r>
          </w:p>
        </w:tc>
        <w:tc>
          <w:tcPr>
            <w:tcW w:w="2835" w:type="dxa"/>
          </w:tcPr>
          <w:p w14:paraId="333EDA55" w14:textId="721B6C98"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10</w:t>
            </w:r>
            <w:r w:rsidR="00681300" w:rsidRPr="002F04A3">
              <w:rPr>
                <w:sz w:val="22"/>
                <w:szCs w:val="22"/>
                <w:lang w:val="en-CA"/>
              </w:rPr>
              <w:t>% of</w:t>
            </w:r>
            <w:r w:rsidRPr="002F04A3">
              <w:rPr>
                <w:sz w:val="22"/>
                <w:szCs w:val="22"/>
                <w:lang w:val="en-CA"/>
              </w:rPr>
              <w:t xml:space="preserve"> tuition paid or payable under a contract.</w:t>
            </w:r>
          </w:p>
        </w:tc>
      </w:tr>
      <w:tr w:rsidR="00BA00AB" w:rsidRPr="002F04A3" w14:paraId="017C3EA5" w14:textId="77777777" w:rsidTr="00E908F4">
        <w:trPr>
          <w:trHeight w:val="684"/>
        </w:trPr>
        <w:tc>
          <w:tcPr>
            <w:tcW w:w="6804" w:type="dxa"/>
          </w:tcPr>
          <w:p w14:paraId="06C42662"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no more than 10% but less than 30% of the program</w:t>
            </w:r>
          </w:p>
        </w:tc>
        <w:tc>
          <w:tcPr>
            <w:tcW w:w="2835" w:type="dxa"/>
          </w:tcPr>
          <w:p w14:paraId="2E014336"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30% of the tuition paid or payable under a contract.</w:t>
            </w:r>
          </w:p>
        </w:tc>
      </w:tr>
      <w:tr w:rsidR="00BA00AB" w:rsidRPr="002F04A3" w14:paraId="7A980ED2" w14:textId="77777777" w:rsidTr="00E908F4">
        <w:trPr>
          <w:trHeight w:val="684"/>
        </w:trPr>
        <w:tc>
          <w:tcPr>
            <w:tcW w:w="6804" w:type="dxa"/>
          </w:tcPr>
          <w:p w14:paraId="167BF31F"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more than 30% but less than 50% of the program</w:t>
            </w:r>
          </w:p>
        </w:tc>
        <w:tc>
          <w:tcPr>
            <w:tcW w:w="2835" w:type="dxa"/>
          </w:tcPr>
          <w:p w14:paraId="2C2AA210" w14:textId="77777777" w:rsidR="00BA00AB" w:rsidRPr="002F04A3" w:rsidRDefault="00BA00AB" w:rsidP="00BA00AB">
            <w:pPr>
              <w:spacing w:before="60" w:after="60" w:line="276" w:lineRule="auto"/>
              <w:rPr>
                <w:sz w:val="22"/>
                <w:szCs w:val="22"/>
                <w:lang w:val="en-CA"/>
              </w:rPr>
            </w:pPr>
            <w:r w:rsidRPr="002F04A3">
              <w:rPr>
                <w:sz w:val="22"/>
                <w:szCs w:val="22"/>
                <w:lang w:val="en-CA"/>
              </w:rPr>
              <w:t>Institution may retain up to 50% of tuition paid or payable under a contract.</w:t>
            </w:r>
          </w:p>
        </w:tc>
      </w:tr>
      <w:tr w:rsidR="00BA00AB" w:rsidRPr="002F04A3" w14:paraId="6B435E7F" w14:textId="77777777" w:rsidTr="00E908F4">
        <w:trPr>
          <w:trHeight w:val="684"/>
        </w:trPr>
        <w:tc>
          <w:tcPr>
            <w:tcW w:w="6804" w:type="dxa"/>
          </w:tcPr>
          <w:p w14:paraId="367D9007" w14:textId="77777777" w:rsidR="00BA00AB" w:rsidRPr="002F04A3" w:rsidRDefault="00BA00AB" w:rsidP="00BA00AB">
            <w:pPr>
              <w:numPr>
                <w:ilvl w:val="0"/>
                <w:numId w:val="21"/>
              </w:numPr>
              <w:spacing w:before="60" w:after="60" w:line="276" w:lineRule="auto"/>
              <w:contextualSpacing/>
              <w:rPr>
                <w:sz w:val="22"/>
                <w:szCs w:val="22"/>
                <w:lang w:val="en-CA"/>
              </w:rPr>
            </w:pPr>
            <w:r w:rsidRPr="002F04A3">
              <w:rPr>
                <w:sz w:val="22"/>
                <w:szCs w:val="22"/>
                <w:lang w:val="en-CA"/>
              </w:rPr>
              <w:t xml:space="preserve">Student has </w:t>
            </w:r>
            <w:r w:rsidRPr="002F04A3">
              <w:rPr>
                <w:b/>
                <w:bCs/>
                <w:sz w:val="22"/>
                <w:szCs w:val="22"/>
                <w:u w:val="single"/>
                <w:lang w:val="en-CA"/>
              </w:rPr>
              <w:t>completed</w:t>
            </w:r>
            <w:r w:rsidRPr="002F04A3">
              <w:rPr>
                <w:sz w:val="22"/>
                <w:szCs w:val="22"/>
                <w:lang w:val="en-CA"/>
              </w:rPr>
              <w:t xml:space="preserve"> 50% or more of the program</w:t>
            </w:r>
          </w:p>
        </w:tc>
        <w:tc>
          <w:tcPr>
            <w:tcW w:w="2835" w:type="dxa"/>
          </w:tcPr>
          <w:p w14:paraId="0A0B36D6" w14:textId="77777777" w:rsidR="00BA00AB" w:rsidRPr="002F04A3" w:rsidRDefault="00BA00AB" w:rsidP="00BA00AB">
            <w:pPr>
              <w:spacing w:before="60" w:after="60" w:line="276" w:lineRule="auto"/>
              <w:rPr>
                <w:sz w:val="22"/>
                <w:szCs w:val="22"/>
                <w:lang w:val="en-CA"/>
              </w:rPr>
            </w:pPr>
            <w:r w:rsidRPr="002F04A3">
              <w:rPr>
                <w:sz w:val="22"/>
                <w:szCs w:val="22"/>
                <w:lang w:val="en-CA"/>
              </w:rPr>
              <w:t>No refund due</w:t>
            </w:r>
          </w:p>
        </w:tc>
      </w:tr>
    </w:tbl>
    <w:bookmarkEnd w:id="0"/>
    <w:p w14:paraId="128D152B" w14:textId="4AFF4416" w:rsidR="002F04A3" w:rsidRPr="002F04A3" w:rsidRDefault="002F04A3" w:rsidP="002F04A3">
      <w:pPr>
        <w:spacing w:after="200" w:line="276" w:lineRule="auto"/>
        <w:rPr>
          <w:rFonts w:ascii="Calibri" w:eastAsia="Calibri" w:hAnsi="Calibri"/>
          <w:sz w:val="22"/>
          <w:szCs w:val="22"/>
          <w:lang w:val="en-CA"/>
          <w14:ligatures w14:val="standardContextual"/>
        </w:rPr>
      </w:pPr>
      <w:r w:rsidRPr="002F04A3">
        <w:rPr>
          <w:rFonts w:ascii="Calibri" w:eastAsia="Calibri" w:hAnsi="Calibri"/>
          <w:noProof/>
          <w:sz w:val="22"/>
          <w:szCs w:val="22"/>
          <w:lang w:val="en-CA"/>
          <w14:ligatures w14:val="standardContextual"/>
        </w:rPr>
        <w:lastRenderedPageBreak/>
        <mc:AlternateContent>
          <mc:Choice Requires="wps">
            <w:drawing>
              <wp:anchor distT="0" distB="0" distL="114300" distR="114300" simplePos="0" relativeHeight="251658240" behindDoc="0" locked="0" layoutInCell="1" allowOverlap="1" wp14:anchorId="726380C3" wp14:editId="6CAC1F52">
                <wp:simplePos x="0" y="0"/>
                <wp:positionH relativeFrom="margin">
                  <wp:posOffset>-40005</wp:posOffset>
                </wp:positionH>
                <wp:positionV relativeFrom="paragraph">
                  <wp:posOffset>203200</wp:posOffset>
                </wp:positionV>
                <wp:extent cx="6160135" cy="1342390"/>
                <wp:effectExtent l="38100" t="38100" r="88265" b="86360"/>
                <wp:wrapSquare wrapText="bothSides"/>
                <wp:docPr id="12959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342390"/>
                        </a:xfrm>
                        <a:prstGeom prst="rect">
                          <a:avLst/>
                        </a:prstGeom>
                        <a:solidFill>
                          <a:srgbClr val="D4EAF3"/>
                        </a:solidFill>
                        <a:ln>
                          <a:noFill/>
                        </a:ln>
                        <a:effectLst>
                          <a:outerShdw blurRad="50800" dist="38100" dir="2700000" algn="tl" rotWithShape="0">
                            <a:srgbClr val="000000">
                              <a:alpha val="42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1"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1"/>
                          <w:p w14:paraId="4D39800A" w14:textId="77777777" w:rsidR="002F04A3" w:rsidRPr="005B7500" w:rsidRDefault="002F04A3" w:rsidP="002F04A3"/>
                          <w:p w14:paraId="31F1EEAD" w14:textId="77777777" w:rsidR="002F04A3" w:rsidRDefault="002F04A3" w:rsidP="002F04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380C3" id="_x0000_t202" coordsize="21600,21600" o:spt="202" path="m,l,21600r21600,l21600,xe">
                <v:stroke joinstyle="miter"/>
                <v:path gradientshapeok="t" o:connecttype="rect"/>
              </v:shapetype>
              <v:shape id="Text Box 2" o:spid="_x0000_s1026" type="#_x0000_t202" style="position:absolute;margin-left:-3.15pt;margin-top:16pt;width:485.05pt;height:10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" fillcolor="#d4eaf3" stroked="f" strokeweight=".5pt">
                <v:shadow on="t" color="black" opacity="28179f" origin="-.5,-.5" offset=".74836mm,.74836mm"/>
                <v:textbox>
                  <w:txbxContent>
                    <w:p w14:paraId="6E4FBE36" w14:textId="77777777" w:rsidR="002F04A3" w:rsidRPr="00EF0EEF" w:rsidRDefault="002F04A3" w:rsidP="002F04A3">
                      <w:pPr>
                        <w:rPr>
                          <w:b/>
                          <w:sz w:val="20"/>
                          <w:szCs w:val="28"/>
                        </w:rPr>
                      </w:pPr>
                    </w:p>
                    <w:p w14:paraId="044103C0" w14:textId="77777777" w:rsidR="002F04A3" w:rsidRPr="00681300" w:rsidRDefault="002F04A3" w:rsidP="002F04A3">
                      <w:pPr>
                        <w:spacing w:after="120"/>
                        <w:rPr>
                          <w:rFonts w:ascii="BC Sans" w:hAnsi="BC Sans"/>
                          <w:sz w:val="20"/>
                          <w:szCs w:val="20"/>
                        </w:rPr>
                      </w:pPr>
                      <w:bookmarkStart w:id="2" w:name="_Hlk171329443"/>
                      <w:r w:rsidRPr="00681300">
                        <w:rPr>
                          <w:rFonts w:ascii="BC Sans" w:hAnsi="BC Sans"/>
                          <w:b/>
                          <w:bCs/>
                          <w:sz w:val="20"/>
                          <w:szCs w:val="20"/>
                          <w:u w:val="single"/>
                        </w:rPr>
                        <w:t>Completed</w:t>
                      </w:r>
                      <w:r w:rsidRPr="00681300">
                        <w:rPr>
                          <w:rFonts w:ascii="BC Sans" w:hAnsi="BC Sans"/>
                          <w:sz w:val="20"/>
                          <w:szCs w:val="20"/>
                        </w:rPr>
                        <w:t xml:space="preserve"> means the student has received an evaluation of their performance for the specified percentage of hours of instruction.  Only hours of instruction for which the student received an evaluation should be included in the calculation of a tuition refund. If a student completed a portion of a program for which they did not receive an evaluation, that portion should </w:t>
                      </w:r>
                      <w:r w:rsidRPr="00681300">
                        <w:rPr>
                          <w:rFonts w:ascii="BC Sans" w:hAnsi="BC Sans"/>
                          <w:sz w:val="20"/>
                          <w:szCs w:val="20"/>
                          <w:u w:val="single"/>
                        </w:rPr>
                        <w:t xml:space="preserve">not </w:t>
                      </w:r>
                      <w:r w:rsidRPr="00681300">
                        <w:rPr>
                          <w:rFonts w:ascii="BC Sans" w:hAnsi="BC Sans"/>
                          <w:sz w:val="20"/>
                          <w:szCs w:val="20"/>
                        </w:rPr>
                        <w:t xml:space="preserve">be included in the calculation of the percentage of the program completed. </w:t>
                      </w:r>
                    </w:p>
                    <w:bookmarkEnd w:id="2"/>
                    <w:p w14:paraId="4D39800A" w14:textId="77777777" w:rsidR="002F04A3" w:rsidRPr="005B7500" w:rsidRDefault="002F04A3" w:rsidP="002F04A3"/>
                    <w:p w14:paraId="31F1EEAD" w14:textId="77777777" w:rsidR="002F04A3" w:rsidRDefault="002F04A3" w:rsidP="002F04A3"/>
                  </w:txbxContent>
                </v:textbox>
                <w10:wrap type="square" anchorx="margin"/>
              </v:shape>
            </w:pict>
          </mc:Fallback>
        </mc:AlternateContent>
      </w:r>
    </w:p>
    <w:tbl>
      <w:tblPr>
        <w:tblStyle w:val="TableGrid1"/>
        <w:tblW w:w="9639" w:type="dxa"/>
        <w:tblInd w:w="-5" w:type="dxa"/>
        <w:tblLook w:val="04A0" w:firstRow="1" w:lastRow="0" w:firstColumn="1" w:lastColumn="0" w:noHBand="0" w:noVBand="1"/>
      </w:tblPr>
      <w:tblGrid>
        <w:gridCol w:w="6804"/>
        <w:gridCol w:w="2835"/>
      </w:tblGrid>
      <w:tr w:rsidR="002F04A3" w:rsidRPr="002F04A3" w14:paraId="5EF5410F" w14:textId="77777777" w:rsidTr="002F04A3">
        <w:trPr>
          <w:trHeight w:val="597"/>
          <w:tblHeader/>
        </w:trPr>
        <w:tc>
          <w:tcPr>
            <w:tcW w:w="6804" w:type="dxa"/>
            <w:shd w:val="clear" w:color="auto" w:fill="B1C6D7"/>
          </w:tcPr>
          <w:p w14:paraId="4971BCCE" w14:textId="77777777" w:rsidR="002F04A3" w:rsidRPr="002F04A3" w:rsidRDefault="002F04A3" w:rsidP="002F04A3">
            <w:pPr>
              <w:spacing w:before="120" w:after="120" w:line="276" w:lineRule="auto"/>
              <w:rPr>
                <w:sz w:val="22"/>
                <w:szCs w:val="22"/>
                <w:lang w:val="en-CA"/>
              </w:rPr>
            </w:pPr>
            <w:r w:rsidRPr="002F04A3">
              <w:rPr>
                <w:b/>
                <w:sz w:val="22"/>
                <w:szCs w:val="22"/>
                <w:lang w:val="en-CA"/>
              </w:rPr>
              <w:t>Approved Programs – All Delivery Methods</w:t>
            </w:r>
          </w:p>
        </w:tc>
        <w:tc>
          <w:tcPr>
            <w:tcW w:w="2835" w:type="dxa"/>
            <w:shd w:val="clear" w:color="auto" w:fill="B1C6D7"/>
          </w:tcPr>
          <w:p w14:paraId="2B650ECB" w14:textId="77777777" w:rsidR="002F04A3" w:rsidRPr="002F04A3" w:rsidRDefault="002F04A3" w:rsidP="002F04A3">
            <w:pPr>
              <w:spacing w:before="120" w:after="120" w:line="276" w:lineRule="auto"/>
              <w:rPr>
                <w:sz w:val="22"/>
                <w:szCs w:val="22"/>
                <w:lang w:val="en-CA"/>
              </w:rPr>
            </w:pPr>
            <w:r w:rsidRPr="002F04A3">
              <w:rPr>
                <w:b/>
                <w:sz w:val="22"/>
                <w:szCs w:val="22"/>
                <w:lang w:val="en-CA"/>
              </w:rPr>
              <w:t xml:space="preserve">Refund Due </w:t>
            </w:r>
          </w:p>
        </w:tc>
      </w:tr>
      <w:tr w:rsidR="002F04A3" w:rsidRPr="002F04A3" w14:paraId="4EA2C65A" w14:textId="77777777" w:rsidTr="002F04A3">
        <w:trPr>
          <w:trHeight w:val="473"/>
        </w:trPr>
        <w:tc>
          <w:tcPr>
            <w:tcW w:w="9639" w:type="dxa"/>
            <w:gridSpan w:val="2"/>
            <w:shd w:val="clear" w:color="auto" w:fill="D9D9D9"/>
          </w:tcPr>
          <w:p w14:paraId="01CDC8F3"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Student enrolled in a program without having met the admission requirements for the program</w:t>
            </w:r>
          </w:p>
        </w:tc>
      </w:tr>
      <w:tr w:rsidR="002F04A3" w:rsidRPr="002F04A3" w14:paraId="74E01FA6" w14:textId="77777777" w:rsidTr="002F04A3">
        <w:trPr>
          <w:trHeight w:val="566"/>
        </w:trPr>
        <w:tc>
          <w:tcPr>
            <w:tcW w:w="6804" w:type="dxa"/>
            <w:shd w:val="clear" w:color="auto" w:fill="FFFFFF"/>
          </w:tcPr>
          <w:p w14:paraId="55A04DC0"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If the student did not misrepresent the student’s knowledge or skills when applying for admission and the registrar orders the institution to refund tuition and fees.</w:t>
            </w:r>
          </w:p>
        </w:tc>
        <w:tc>
          <w:tcPr>
            <w:tcW w:w="2835" w:type="dxa"/>
            <w:shd w:val="clear" w:color="auto" w:fill="FFFFFF"/>
          </w:tcPr>
          <w:p w14:paraId="01D3B48B"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100% tuition and all related fees, including application fees</w:t>
            </w:r>
          </w:p>
          <w:p w14:paraId="31C1DA4A" w14:textId="77777777" w:rsidR="002F04A3" w:rsidRPr="002F04A3" w:rsidRDefault="002F04A3" w:rsidP="002F04A3">
            <w:pPr>
              <w:spacing w:before="60" w:after="60" w:line="276" w:lineRule="auto"/>
              <w:rPr>
                <w:sz w:val="22"/>
                <w:szCs w:val="22"/>
                <w:lang w:val="en-CA"/>
              </w:rPr>
            </w:pPr>
          </w:p>
        </w:tc>
      </w:tr>
      <w:tr w:rsidR="002F04A3" w:rsidRPr="002F04A3" w14:paraId="72A4E7E8" w14:textId="77777777" w:rsidTr="002F04A3">
        <w:trPr>
          <w:trHeight w:val="566"/>
        </w:trPr>
        <w:tc>
          <w:tcPr>
            <w:tcW w:w="9639" w:type="dxa"/>
            <w:gridSpan w:val="2"/>
            <w:shd w:val="clear" w:color="auto" w:fill="D9D9D9"/>
          </w:tcPr>
          <w:p w14:paraId="552B212F" w14:textId="77777777" w:rsidR="002F04A3" w:rsidRPr="002F04A3" w:rsidRDefault="002F04A3" w:rsidP="002F04A3">
            <w:pPr>
              <w:spacing w:before="60" w:after="60" w:line="276" w:lineRule="auto"/>
              <w:rPr>
                <w:sz w:val="22"/>
                <w:szCs w:val="22"/>
                <w:lang w:val="en-CA"/>
              </w:rPr>
            </w:pPr>
            <w:r w:rsidRPr="002F04A3">
              <w:rPr>
                <w:rFonts w:cs="Calibri"/>
                <w:sz w:val="22"/>
                <w:szCs w:val="22"/>
                <w:lang w:val="en-CA"/>
              </w:rPr>
              <w:t>Institution does not provide a work experience</w:t>
            </w:r>
          </w:p>
        </w:tc>
      </w:tr>
      <w:tr w:rsidR="002F04A3" w:rsidRPr="002F04A3" w14:paraId="20E6060A" w14:textId="77777777" w:rsidTr="00E908F4">
        <w:trPr>
          <w:trHeight w:val="566"/>
        </w:trPr>
        <w:tc>
          <w:tcPr>
            <w:tcW w:w="6804" w:type="dxa"/>
          </w:tcPr>
          <w:p w14:paraId="3B619556" w14:textId="77777777" w:rsidR="002F04A3" w:rsidRPr="002F04A3" w:rsidRDefault="002F04A3" w:rsidP="002F04A3">
            <w:pPr>
              <w:numPr>
                <w:ilvl w:val="0"/>
                <w:numId w:val="21"/>
              </w:numPr>
              <w:spacing w:before="60" w:after="60" w:line="276" w:lineRule="auto"/>
              <w:contextualSpacing/>
              <w:rPr>
                <w:sz w:val="22"/>
                <w:szCs w:val="22"/>
                <w:lang w:val="en-CA"/>
              </w:rPr>
            </w:pPr>
            <w:r w:rsidRPr="002F04A3">
              <w:rPr>
                <w:rFonts w:cs="Calibri"/>
                <w:sz w:val="22"/>
                <w:szCs w:val="22"/>
                <w:lang w:val="en-CA"/>
              </w:rPr>
              <w:t>The institution fails to provide the work experience within 30 days of the contract end date, unless the registrar determines the institution was prevented from doing so by circumstances beyond its control.</w:t>
            </w:r>
          </w:p>
        </w:tc>
        <w:tc>
          <w:tcPr>
            <w:tcW w:w="2835" w:type="dxa"/>
          </w:tcPr>
          <w:p w14:paraId="29AAC701" w14:textId="77777777" w:rsidR="002F04A3" w:rsidRPr="002F04A3" w:rsidRDefault="002F04A3" w:rsidP="002F04A3">
            <w:pPr>
              <w:autoSpaceDE w:val="0"/>
              <w:autoSpaceDN w:val="0"/>
              <w:adjustRightInd w:val="0"/>
              <w:rPr>
                <w:rFonts w:cs="Calibri"/>
                <w:color w:val="000000"/>
                <w:sz w:val="22"/>
                <w:szCs w:val="22"/>
                <w:lang w:val="en-CA"/>
              </w:rPr>
            </w:pPr>
            <w:r w:rsidRPr="002F04A3">
              <w:rPr>
                <w:rFonts w:cs="Calibri"/>
                <w:color w:val="000000"/>
                <w:sz w:val="22"/>
                <w:szCs w:val="22"/>
                <w:lang w:val="en-CA"/>
              </w:rPr>
              <w:t xml:space="preserve">100% tuition and all related fees, other than application fees </w:t>
            </w:r>
          </w:p>
          <w:p w14:paraId="17A14523" w14:textId="77777777" w:rsidR="002F04A3" w:rsidRPr="002F04A3" w:rsidRDefault="002F04A3" w:rsidP="002F04A3">
            <w:pPr>
              <w:spacing w:before="60" w:after="60" w:line="276" w:lineRule="auto"/>
              <w:rPr>
                <w:sz w:val="22"/>
                <w:szCs w:val="22"/>
                <w:lang w:val="en-CA"/>
              </w:rPr>
            </w:pPr>
          </w:p>
        </w:tc>
      </w:tr>
    </w:tbl>
    <w:p w14:paraId="33827B8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tbl>
      <w:tblPr>
        <w:tblStyle w:val="TableGrid1"/>
        <w:tblW w:w="9918" w:type="dxa"/>
        <w:tblLook w:val="04A0" w:firstRow="1" w:lastRow="0" w:firstColumn="1" w:lastColumn="0" w:noHBand="0" w:noVBand="1"/>
      </w:tblPr>
      <w:tblGrid>
        <w:gridCol w:w="9918"/>
      </w:tblGrid>
      <w:tr w:rsidR="002F04A3" w:rsidRPr="002F04A3" w14:paraId="17E07B44" w14:textId="77777777" w:rsidTr="008F1DFE">
        <w:tc>
          <w:tcPr>
            <w:tcW w:w="9918" w:type="dxa"/>
            <w:tcBorders>
              <w:bottom w:val="single" w:sz="4" w:space="0" w:color="auto"/>
            </w:tcBorders>
            <w:shd w:val="clear" w:color="auto" w:fill="B1C6D7"/>
          </w:tcPr>
          <w:p w14:paraId="2FCAF331" w14:textId="77777777" w:rsidR="002F04A3" w:rsidRPr="002F04A3" w:rsidRDefault="002F04A3" w:rsidP="002F04A3">
            <w:pPr>
              <w:spacing w:after="200" w:line="276" w:lineRule="auto"/>
              <w:rPr>
                <w:b/>
                <w:bCs/>
                <w:sz w:val="22"/>
                <w:szCs w:val="22"/>
                <w:lang w:val="en-CA"/>
              </w:rPr>
            </w:pPr>
            <w:bookmarkStart w:id="2" w:name="_Hlk171887371"/>
            <w:r w:rsidRPr="008F1DFE">
              <w:rPr>
                <w:b/>
                <w:bCs/>
                <w:color w:val="262626" w:themeColor="text1" w:themeTint="D9"/>
                <w:sz w:val="22"/>
                <w:szCs w:val="22"/>
                <w:lang w:val="en-CA"/>
              </w:rPr>
              <w:t>Refund of Aircraft Utilization Fees</w:t>
            </w:r>
          </w:p>
        </w:tc>
      </w:tr>
      <w:tr w:rsidR="002F04A3" w:rsidRPr="002F04A3" w14:paraId="1820D3D1" w14:textId="77777777" w:rsidTr="00E908F4">
        <w:tc>
          <w:tcPr>
            <w:tcW w:w="9918" w:type="dxa"/>
            <w:tcBorders>
              <w:top w:val="single" w:sz="4" w:space="0" w:color="auto"/>
              <w:left w:val="single" w:sz="4" w:space="0" w:color="auto"/>
              <w:bottom w:val="nil"/>
              <w:right w:val="single" w:sz="4" w:space="0" w:color="auto"/>
            </w:tcBorders>
          </w:tcPr>
          <w:p w14:paraId="19E598BA" w14:textId="77777777" w:rsidR="002F04A3" w:rsidRPr="002F04A3" w:rsidRDefault="002F04A3" w:rsidP="002F04A3">
            <w:pPr>
              <w:spacing w:after="200" w:line="276" w:lineRule="auto"/>
              <w:rPr>
                <w:sz w:val="22"/>
                <w:szCs w:val="22"/>
                <w:lang w:val="en-CA"/>
              </w:rPr>
            </w:pPr>
            <w:r w:rsidRPr="002F04A3">
              <w:rPr>
                <w:sz w:val="22"/>
                <w:szCs w:val="22"/>
                <w:lang w:val="en-CA"/>
              </w:rPr>
              <w:t>The institution must refund unused aircraft utilization fees paid by or on behalf of a student if any of the following apply:</w:t>
            </w:r>
          </w:p>
        </w:tc>
      </w:tr>
      <w:tr w:rsidR="002F04A3" w:rsidRPr="002F04A3" w14:paraId="1D9E3A81" w14:textId="77777777" w:rsidTr="00E908F4">
        <w:tc>
          <w:tcPr>
            <w:tcW w:w="9918" w:type="dxa"/>
            <w:tcBorders>
              <w:top w:val="nil"/>
              <w:left w:val="single" w:sz="4" w:space="0" w:color="auto"/>
              <w:bottom w:val="nil"/>
              <w:right w:val="single" w:sz="4" w:space="0" w:color="auto"/>
            </w:tcBorders>
          </w:tcPr>
          <w:p w14:paraId="3E6AADE7"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Student provides notice of withdrawal </w:t>
            </w:r>
          </w:p>
        </w:tc>
      </w:tr>
      <w:tr w:rsidR="002F04A3" w:rsidRPr="002F04A3" w14:paraId="13CE55AC" w14:textId="77777777" w:rsidTr="00E908F4">
        <w:tc>
          <w:tcPr>
            <w:tcW w:w="9918" w:type="dxa"/>
            <w:tcBorders>
              <w:top w:val="nil"/>
              <w:left w:val="single" w:sz="4" w:space="0" w:color="auto"/>
              <w:bottom w:val="nil"/>
              <w:right w:val="single" w:sz="4" w:space="0" w:color="auto"/>
            </w:tcBorders>
          </w:tcPr>
          <w:p w14:paraId="5A373A8F"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 xml:space="preserve">Institution provides notice of dismissal </w:t>
            </w:r>
          </w:p>
        </w:tc>
      </w:tr>
      <w:tr w:rsidR="002F04A3" w:rsidRPr="002F04A3" w14:paraId="79B86E7C" w14:textId="77777777" w:rsidTr="00E908F4">
        <w:tc>
          <w:tcPr>
            <w:tcW w:w="9918" w:type="dxa"/>
            <w:tcBorders>
              <w:top w:val="nil"/>
              <w:left w:val="single" w:sz="4" w:space="0" w:color="auto"/>
              <w:bottom w:val="nil"/>
              <w:right w:val="single" w:sz="4" w:space="0" w:color="auto"/>
            </w:tcBorders>
          </w:tcPr>
          <w:p w14:paraId="6DB9532A"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completes the program</w:t>
            </w:r>
          </w:p>
        </w:tc>
      </w:tr>
      <w:tr w:rsidR="002F04A3" w:rsidRPr="002F04A3" w14:paraId="73A35D21" w14:textId="77777777" w:rsidTr="00E908F4">
        <w:trPr>
          <w:trHeight w:val="46"/>
        </w:trPr>
        <w:tc>
          <w:tcPr>
            <w:tcW w:w="9918" w:type="dxa"/>
            <w:tcBorders>
              <w:top w:val="nil"/>
              <w:left w:val="single" w:sz="4" w:space="0" w:color="auto"/>
              <w:bottom w:val="single" w:sz="4" w:space="0" w:color="auto"/>
              <w:right w:val="single" w:sz="4" w:space="0" w:color="auto"/>
            </w:tcBorders>
          </w:tcPr>
          <w:p w14:paraId="3373918B" w14:textId="77777777" w:rsidR="002F04A3" w:rsidRPr="002F04A3" w:rsidRDefault="002F04A3" w:rsidP="002F04A3">
            <w:pPr>
              <w:numPr>
                <w:ilvl w:val="0"/>
                <w:numId w:val="26"/>
              </w:numPr>
              <w:spacing w:after="200" w:line="276" w:lineRule="auto"/>
              <w:contextualSpacing/>
              <w:rPr>
                <w:sz w:val="22"/>
                <w:szCs w:val="22"/>
                <w:lang w:val="en-CA"/>
              </w:rPr>
            </w:pPr>
            <w:r w:rsidRPr="002F04A3">
              <w:rPr>
                <w:sz w:val="22"/>
                <w:szCs w:val="22"/>
                <w:lang w:val="en-CA"/>
              </w:rPr>
              <w:t>Student does not attend any of the first 30% of the hours of instruction of the program</w:t>
            </w:r>
          </w:p>
        </w:tc>
      </w:tr>
      <w:bookmarkEnd w:id="2"/>
    </w:tbl>
    <w:p w14:paraId="5D38C0CF" w14:textId="77777777" w:rsidR="002F04A3" w:rsidRPr="002F04A3" w:rsidRDefault="002F04A3" w:rsidP="002F04A3">
      <w:pPr>
        <w:spacing w:after="200" w:line="276" w:lineRule="auto"/>
        <w:rPr>
          <w:rFonts w:ascii="Calibri" w:eastAsia="Calibri" w:hAnsi="Calibri"/>
          <w:sz w:val="22"/>
          <w:szCs w:val="22"/>
          <w:lang w:val="en-CA"/>
          <w14:ligatures w14:val="standardContextual"/>
        </w:rPr>
      </w:pPr>
    </w:p>
    <w:p w14:paraId="5AEBC6E5" w14:textId="77777777" w:rsidR="002F04A3" w:rsidRDefault="002F04A3" w:rsidP="00F84409">
      <w:pPr>
        <w:rPr>
          <w:rFonts w:ascii="BC Sans" w:hAnsi="BC Sans" w:cstheme="minorHAnsi"/>
          <w:sz w:val="22"/>
          <w:szCs w:val="22"/>
        </w:rPr>
      </w:pPr>
    </w:p>
    <w:p w14:paraId="4B8D4109" w14:textId="6600C744" w:rsidR="001E7E2B" w:rsidRPr="00A263FC" w:rsidRDefault="00681300" w:rsidP="00F76787">
      <w:pPr>
        <w:spacing w:line="276" w:lineRule="auto"/>
        <w:rPr>
          <w:rFonts w:ascii="BC Sans" w:hAnsi="BC Sans" w:cs="Arial"/>
          <w:sz w:val="22"/>
          <w:szCs w:val="22"/>
        </w:rPr>
      </w:pPr>
      <w:r>
        <w:rPr>
          <w:rFonts w:ascii="BC Sans" w:hAnsi="BC Sans" w:cstheme="minorHAnsi"/>
          <w:sz w:val="22"/>
          <w:szCs w:val="22"/>
        </w:rPr>
        <w:t xml:space="preserve">The </w:t>
      </w:r>
      <w:r>
        <w:rPr>
          <w:rFonts w:ascii="BC Sans" w:hAnsi="BC Sans" w:cs="Arial"/>
          <w:sz w:val="22"/>
          <w:szCs w:val="22"/>
        </w:rPr>
        <w:t>i</w:t>
      </w:r>
      <w:r w:rsidR="00F84409" w:rsidRPr="00A263FC">
        <w:rPr>
          <w:rFonts w:ascii="BC Sans" w:hAnsi="BC Sans" w:cs="Arial"/>
          <w:sz w:val="22"/>
          <w:szCs w:val="22"/>
        </w:rPr>
        <w:t xml:space="preserve">nstitution must pay the tuition or fee refund </w:t>
      </w:r>
      <w:r w:rsidR="00F84409" w:rsidRPr="00A263FC">
        <w:rPr>
          <w:rFonts w:ascii="BC Sans" w:hAnsi="BC Sans" w:cs="Arial"/>
          <w:b/>
          <w:bCs/>
          <w:sz w:val="22"/>
          <w:szCs w:val="22"/>
        </w:rPr>
        <w:t>within 30 days</w:t>
      </w:r>
      <w:r w:rsidR="00F84409" w:rsidRPr="00A263FC">
        <w:rPr>
          <w:rFonts w:ascii="BC Sans" w:hAnsi="BC Sans" w:cs="Arial"/>
          <w:sz w:val="22"/>
          <w:szCs w:val="22"/>
        </w:rPr>
        <w:t xml:space="preserve"> after receiving notice of withdrawal or refusal of study permit; providing a notice of dismissal, or the date on which the first 30% of the hours of instruction are provided (no-show). </w:t>
      </w:r>
    </w:p>
    <w:sectPr w:rsidR="001E7E2B" w:rsidRPr="00A263FC" w:rsidSect="00F84409">
      <w:headerReference w:type="default" r:id="rId10"/>
      <w:footerReference w:type="default" r:id="rId11"/>
      <w:pgSz w:w="12240" w:h="15840"/>
      <w:pgMar w:top="1843"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2BFC" w14:textId="77777777" w:rsidR="00A76C0C" w:rsidRDefault="00A76C0C">
      <w:r>
        <w:separator/>
      </w:r>
    </w:p>
  </w:endnote>
  <w:endnote w:type="continuationSeparator" w:id="0">
    <w:p w14:paraId="4FC90AEA" w14:textId="77777777" w:rsidR="00A76C0C" w:rsidRDefault="00A7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58"/>
      <w:gridCol w:w="3094"/>
    </w:tblGrid>
    <w:tr w:rsidR="00067094" w:rsidRPr="00C76D47" w14:paraId="34AF0F1B" w14:textId="77777777" w:rsidTr="00906099">
      <w:tc>
        <w:tcPr>
          <w:tcW w:w="3828" w:type="dxa"/>
        </w:tcPr>
        <w:p w14:paraId="24169CF9" w14:textId="77777777" w:rsidR="00681300" w:rsidRDefault="00906099" w:rsidP="00681300">
          <w:pPr>
            <w:pStyle w:val="Footer"/>
            <w:rPr>
              <w:rFonts w:asciiTheme="minorHAnsi" w:hAnsiTheme="minorHAnsi" w:cs="Calibri"/>
              <w:sz w:val="18"/>
              <w:szCs w:val="18"/>
            </w:rPr>
          </w:pPr>
          <w:r w:rsidRPr="00906099">
            <w:rPr>
              <w:rFonts w:asciiTheme="minorHAnsi" w:hAnsiTheme="minorHAnsi" w:cs="Calibri"/>
              <w:sz w:val="18"/>
              <w:szCs w:val="18"/>
            </w:rPr>
            <w:t>Private Training Institutions</w:t>
          </w:r>
        </w:p>
        <w:p w14:paraId="0330B17D" w14:textId="2045076E" w:rsidR="00906099" w:rsidRPr="00C76D47" w:rsidRDefault="00906099" w:rsidP="00681300">
          <w:pPr>
            <w:pStyle w:val="Footer"/>
            <w:rPr>
              <w:rFonts w:asciiTheme="minorHAnsi" w:hAnsiTheme="minorHAnsi" w:cs="Calibri"/>
              <w:sz w:val="18"/>
              <w:szCs w:val="18"/>
              <w:highlight w:val="yellow"/>
            </w:rPr>
          </w:pPr>
          <w:r w:rsidRPr="00906099">
            <w:rPr>
              <w:rFonts w:asciiTheme="minorHAnsi" w:hAnsiTheme="minorHAnsi" w:cs="Calibri"/>
              <w:sz w:val="18"/>
              <w:szCs w:val="18"/>
            </w:rPr>
            <w:t>Regulatory Unit</w:t>
          </w:r>
        </w:p>
      </w:tc>
      <w:tc>
        <w:tcPr>
          <w:tcW w:w="2358" w:type="dxa"/>
        </w:tcPr>
        <w:p w14:paraId="7E15CCF7" w14:textId="21B879F9" w:rsidR="00067094" w:rsidRPr="00BA00AB" w:rsidRDefault="00067094" w:rsidP="00067094">
          <w:pPr>
            <w:pStyle w:val="Footer"/>
            <w:jc w:val="center"/>
            <w:rPr>
              <w:rFonts w:asciiTheme="minorHAnsi" w:hAnsiTheme="minorHAnsi" w:cs="Calibri"/>
              <w:sz w:val="18"/>
              <w:szCs w:val="18"/>
            </w:rPr>
          </w:pPr>
          <w:r w:rsidRPr="00BA00AB">
            <w:rPr>
              <w:rFonts w:asciiTheme="minorHAnsi" w:hAnsiTheme="minorHAnsi"/>
              <w:sz w:val="18"/>
              <w:szCs w:val="18"/>
            </w:rPr>
            <w:t xml:space="preserve">Page </w:t>
          </w:r>
          <w:r w:rsidRPr="00BA00AB">
            <w:rPr>
              <w:rFonts w:asciiTheme="minorHAnsi" w:hAnsiTheme="minorHAnsi"/>
              <w:sz w:val="18"/>
              <w:szCs w:val="18"/>
            </w:rPr>
            <w:fldChar w:fldCharType="begin"/>
          </w:r>
          <w:r w:rsidRPr="00BA00AB">
            <w:rPr>
              <w:rFonts w:asciiTheme="minorHAnsi" w:hAnsiTheme="minorHAnsi"/>
              <w:sz w:val="18"/>
              <w:szCs w:val="18"/>
            </w:rPr>
            <w:instrText xml:space="preserve"> PAGE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r w:rsidRPr="00BA00AB">
            <w:rPr>
              <w:rFonts w:asciiTheme="minorHAnsi" w:hAnsiTheme="minorHAnsi"/>
              <w:sz w:val="18"/>
              <w:szCs w:val="18"/>
            </w:rPr>
            <w:t xml:space="preserve"> of </w:t>
          </w:r>
          <w:r w:rsidRPr="00BA00AB">
            <w:rPr>
              <w:rFonts w:asciiTheme="minorHAnsi" w:hAnsiTheme="minorHAnsi"/>
              <w:sz w:val="18"/>
              <w:szCs w:val="18"/>
            </w:rPr>
            <w:fldChar w:fldCharType="begin"/>
          </w:r>
          <w:r w:rsidRPr="00BA00AB">
            <w:rPr>
              <w:rFonts w:asciiTheme="minorHAnsi" w:hAnsiTheme="minorHAnsi"/>
              <w:sz w:val="18"/>
              <w:szCs w:val="18"/>
            </w:rPr>
            <w:instrText xml:space="preserve"> NUMPAGES  \* Arabic  \* MERGEFORMAT </w:instrText>
          </w:r>
          <w:r w:rsidRPr="00BA00AB">
            <w:rPr>
              <w:rFonts w:asciiTheme="minorHAnsi" w:hAnsiTheme="minorHAnsi"/>
              <w:sz w:val="18"/>
              <w:szCs w:val="18"/>
            </w:rPr>
            <w:fldChar w:fldCharType="separate"/>
          </w:r>
          <w:r w:rsidR="00CC5DD8" w:rsidRPr="00BA00AB">
            <w:rPr>
              <w:rFonts w:asciiTheme="minorHAnsi" w:hAnsiTheme="minorHAnsi"/>
              <w:noProof/>
              <w:sz w:val="18"/>
              <w:szCs w:val="18"/>
            </w:rPr>
            <w:t>3</w:t>
          </w:r>
          <w:r w:rsidRPr="00BA00AB">
            <w:rPr>
              <w:rFonts w:asciiTheme="minorHAnsi" w:hAnsiTheme="minorHAnsi"/>
              <w:sz w:val="18"/>
              <w:szCs w:val="18"/>
            </w:rPr>
            <w:fldChar w:fldCharType="end"/>
          </w:r>
        </w:p>
      </w:tc>
      <w:tc>
        <w:tcPr>
          <w:tcW w:w="3094" w:type="dxa"/>
        </w:tcPr>
        <w:p w14:paraId="256527A8" w14:textId="4EE6EE2B" w:rsidR="00067094" w:rsidRPr="00BA00AB" w:rsidRDefault="00C76D47" w:rsidP="00F95475">
          <w:pPr>
            <w:pStyle w:val="Footer"/>
            <w:jc w:val="right"/>
            <w:rPr>
              <w:rFonts w:asciiTheme="minorHAnsi" w:hAnsiTheme="minorHAnsi"/>
              <w:sz w:val="18"/>
              <w:szCs w:val="18"/>
            </w:rPr>
          </w:pPr>
          <w:r w:rsidRPr="00BA00AB">
            <w:rPr>
              <w:rFonts w:asciiTheme="minorHAnsi" w:hAnsiTheme="minorHAnsi"/>
              <w:sz w:val="18"/>
              <w:szCs w:val="18"/>
            </w:rPr>
            <w:t>202</w:t>
          </w:r>
          <w:r w:rsidR="00906099" w:rsidRPr="00BA00AB">
            <w:rPr>
              <w:rFonts w:asciiTheme="minorHAnsi" w:hAnsiTheme="minorHAnsi"/>
              <w:sz w:val="18"/>
              <w:szCs w:val="18"/>
            </w:rPr>
            <w:t>4</w:t>
          </w:r>
          <w:r w:rsidRPr="00BA00AB">
            <w:rPr>
              <w:rFonts w:asciiTheme="minorHAnsi" w:hAnsiTheme="minorHAnsi"/>
              <w:sz w:val="18"/>
              <w:szCs w:val="18"/>
            </w:rPr>
            <w:t>.</w:t>
          </w:r>
          <w:r w:rsidR="00906099" w:rsidRPr="00BA00AB">
            <w:rPr>
              <w:rFonts w:asciiTheme="minorHAnsi" w:hAnsiTheme="minorHAnsi"/>
              <w:sz w:val="18"/>
              <w:szCs w:val="18"/>
            </w:rPr>
            <w:t>12</w:t>
          </w:r>
          <w:r w:rsidRPr="00BA00AB">
            <w:rPr>
              <w:rFonts w:asciiTheme="minorHAnsi" w:hAnsiTheme="minorHAnsi"/>
              <w:sz w:val="18"/>
              <w:szCs w:val="18"/>
            </w:rPr>
            <w:t>.</w:t>
          </w:r>
          <w:r w:rsidR="00681300">
            <w:rPr>
              <w:rFonts w:asciiTheme="minorHAnsi" w:hAnsiTheme="minorHAnsi"/>
              <w:sz w:val="18"/>
              <w:szCs w:val="18"/>
            </w:rPr>
            <w:t>17</w:t>
          </w:r>
        </w:p>
      </w:tc>
    </w:tr>
  </w:tbl>
  <w:p w14:paraId="4B8D4114" w14:textId="2CD3F813" w:rsidR="00B94273" w:rsidRPr="0027712A" w:rsidRDefault="00B94273">
    <w:pPr>
      <w:pStyle w:val="Footer"/>
      <w:rPr>
        <w:rFonts w:asciiTheme="minorHAnsi" w:hAnsiTheme="minorHAnsi"/>
        <w:sz w:val="18"/>
        <w:szCs w:val="18"/>
      </w:rPr>
    </w:pPr>
    <w:r w:rsidRPr="0027712A">
      <w:rPr>
        <w:rFonts w:asciiTheme="minorHAnsi" w:hAnsiTheme="minorHAnsi" w:cs="Calibri"/>
        <w:sz w:val="18"/>
        <w:szCs w:val="18"/>
      </w:rPr>
      <w:tab/>
    </w:r>
    <w:r w:rsidRPr="0027712A">
      <w:rPr>
        <w:rFonts w:asciiTheme="minorHAnsi" w:hAnsiTheme="minorHAns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FC43" w14:textId="77777777" w:rsidR="00A76C0C" w:rsidRDefault="00A76C0C">
      <w:r>
        <w:separator/>
      </w:r>
    </w:p>
  </w:footnote>
  <w:footnote w:type="continuationSeparator" w:id="0">
    <w:p w14:paraId="34BC33B0" w14:textId="77777777" w:rsidR="00A76C0C" w:rsidRDefault="00A7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410E" w14:textId="391DB026" w:rsidR="00B94273" w:rsidRPr="00542B4F" w:rsidRDefault="00B94273">
    <w:pPr>
      <w:rPr>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53"/>
    </w:tblGrid>
    <w:tr w:rsidR="00B94273" w:rsidRPr="0027712A" w14:paraId="4B8D4112" w14:textId="77777777" w:rsidTr="00542B4F">
      <w:tc>
        <w:tcPr>
          <w:tcW w:w="3227" w:type="dxa"/>
        </w:tcPr>
        <w:p w14:paraId="4B8D410F" w14:textId="77777777" w:rsidR="00B94273" w:rsidRPr="0027712A" w:rsidRDefault="00B94273" w:rsidP="005B4867">
          <w:pPr>
            <w:pStyle w:val="Header"/>
            <w:rPr>
              <w:rFonts w:asciiTheme="minorHAnsi" w:hAnsiTheme="minorHAnsi"/>
              <w:sz w:val="22"/>
              <w:szCs w:val="22"/>
              <w:lang w:val="en-CA" w:eastAsia="en-CA"/>
            </w:rPr>
          </w:pPr>
        </w:p>
      </w:tc>
      <w:tc>
        <w:tcPr>
          <w:tcW w:w="6053" w:type="dxa"/>
        </w:tcPr>
        <w:p w14:paraId="4B8D4110" w14:textId="79526B5A" w:rsidR="00B94273" w:rsidRPr="00A263FC" w:rsidRDefault="00F95475" w:rsidP="00DD023E">
          <w:pPr>
            <w:pStyle w:val="Header"/>
            <w:jc w:val="right"/>
            <w:rPr>
              <w:rFonts w:ascii="BC Sans" w:hAnsi="BC Sans"/>
              <w:sz w:val="28"/>
              <w:szCs w:val="28"/>
              <w:lang w:val="en-CA" w:eastAsia="en-CA"/>
            </w:rPr>
          </w:pPr>
          <w:r>
            <w:rPr>
              <w:rFonts w:asciiTheme="minorHAnsi" w:hAnsiTheme="minorHAnsi"/>
              <w:sz w:val="32"/>
              <w:szCs w:val="32"/>
              <w:lang w:val="en-CA" w:eastAsia="en-CA"/>
            </w:rPr>
            <w:t xml:space="preserve">Tuition </w:t>
          </w:r>
          <w:r w:rsidRPr="00A263FC">
            <w:rPr>
              <w:rFonts w:ascii="BC Sans" w:hAnsi="BC Sans"/>
              <w:sz w:val="28"/>
              <w:szCs w:val="28"/>
              <w:lang w:val="en-CA" w:eastAsia="en-CA"/>
            </w:rPr>
            <w:t>Refund</w:t>
          </w:r>
          <w:r w:rsidR="00542B4F" w:rsidRPr="00A263FC">
            <w:rPr>
              <w:rFonts w:ascii="BC Sans" w:hAnsi="BC Sans"/>
              <w:sz w:val="28"/>
              <w:szCs w:val="28"/>
              <w:lang w:val="en-CA" w:eastAsia="en-CA"/>
            </w:rPr>
            <w:t xml:space="preserve"> Policy</w:t>
          </w:r>
          <w:r w:rsidR="00064D49" w:rsidRPr="00A263FC">
            <w:rPr>
              <w:rFonts w:ascii="BC Sans" w:hAnsi="BC Sans"/>
              <w:sz w:val="28"/>
              <w:szCs w:val="28"/>
              <w:lang w:val="en-CA" w:eastAsia="en-CA"/>
            </w:rPr>
            <w:t xml:space="preserve"> – Approved Program</w:t>
          </w:r>
        </w:p>
        <w:p w14:paraId="50C31739" w14:textId="5CF520CE" w:rsidR="00B94273" w:rsidRPr="00C76D47" w:rsidRDefault="00F76787" w:rsidP="00542B4F">
          <w:pPr>
            <w:pStyle w:val="Header"/>
            <w:jc w:val="right"/>
            <w:rPr>
              <w:rFonts w:ascii="BC Sans" w:hAnsi="BC Sans"/>
              <w:b/>
              <w:color w:val="365F91" w:themeColor="accent1" w:themeShade="BF"/>
              <w:sz w:val="28"/>
              <w:szCs w:val="28"/>
              <w:lang w:val="en-CA" w:eastAsia="en-CA"/>
            </w:rPr>
          </w:pPr>
          <w:r>
            <w:rPr>
              <w:rFonts w:ascii="BC Sans" w:hAnsi="BC Sans"/>
              <w:b/>
              <w:color w:val="365F91" w:themeColor="accent1" w:themeShade="BF"/>
              <w:sz w:val="28"/>
              <w:szCs w:val="28"/>
              <w:lang w:val="en-CA" w:eastAsia="en-CA"/>
            </w:rPr>
            <w:t>Wales Young Institute</w:t>
          </w:r>
        </w:p>
        <w:p w14:paraId="4B8D4111" w14:textId="77777777" w:rsidR="00067094" w:rsidRPr="00067094" w:rsidRDefault="00067094" w:rsidP="00542B4F">
          <w:pPr>
            <w:pStyle w:val="Header"/>
            <w:jc w:val="right"/>
            <w:rPr>
              <w:rFonts w:asciiTheme="minorHAnsi" w:hAnsiTheme="minorHAnsi"/>
              <w:b/>
              <w:sz w:val="16"/>
              <w:szCs w:val="16"/>
              <w:lang w:val="en-CA" w:eastAsia="en-CA"/>
            </w:rPr>
          </w:pPr>
        </w:p>
      </w:tc>
    </w:tr>
  </w:tbl>
  <w:p w14:paraId="4B8D4113" w14:textId="77777777" w:rsidR="00B94273" w:rsidRPr="00542B4F" w:rsidRDefault="00B94273" w:rsidP="005B486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07"/>
    <w:multiLevelType w:val="hybridMultilevel"/>
    <w:tmpl w:val="3658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71A3"/>
    <w:multiLevelType w:val="hybridMultilevel"/>
    <w:tmpl w:val="B4048A0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15:restartNumberingAfterBreak="0">
    <w:nsid w:val="07061806"/>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E336228"/>
    <w:multiLevelType w:val="hybridMultilevel"/>
    <w:tmpl w:val="BA3C28CC"/>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FAB56D3"/>
    <w:multiLevelType w:val="hybridMultilevel"/>
    <w:tmpl w:val="D0700B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B01CFB"/>
    <w:multiLevelType w:val="hybridMultilevel"/>
    <w:tmpl w:val="17E8A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016AA"/>
    <w:multiLevelType w:val="hybridMultilevel"/>
    <w:tmpl w:val="42D8D2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893294A"/>
    <w:multiLevelType w:val="hybridMultilevel"/>
    <w:tmpl w:val="19866BD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C71D58"/>
    <w:multiLevelType w:val="hybridMultilevel"/>
    <w:tmpl w:val="BCC8C7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2C7EE7"/>
    <w:multiLevelType w:val="hybridMultilevel"/>
    <w:tmpl w:val="53AEC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B7771A"/>
    <w:multiLevelType w:val="hybridMultilevel"/>
    <w:tmpl w:val="EC7CD02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70232B"/>
    <w:multiLevelType w:val="hybridMultilevel"/>
    <w:tmpl w:val="D5801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11E38"/>
    <w:multiLevelType w:val="hybridMultilevel"/>
    <w:tmpl w:val="F4120582"/>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0A645A9"/>
    <w:multiLevelType w:val="hybridMultilevel"/>
    <w:tmpl w:val="52A02B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1364458"/>
    <w:multiLevelType w:val="hybridMultilevel"/>
    <w:tmpl w:val="4226FB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8E738B"/>
    <w:multiLevelType w:val="hybridMultilevel"/>
    <w:tmpl w:val="DA6E6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915E16"/>
    <w:multiLevelType w:val="hybridMultilevel"/>
    <w:tmpl w:val="5EE2829E"/>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6AC5F8A"/>
    <w:multiLevelType w:val="hybridMultilevel"/>
    <w:tmpl w:val="0CC2C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27AC4"/>
    <w:multiLevelType w:val="hybridMultilevel"/>
    <w:tmpl w:val="021430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604F"/>
    <w:multiLevelType w:val="hybridMultilevel"/>
    <w:tmpl w:val="EE5CE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8D1067"/>
    <w:multiLevelType w:val="hybridMultilevel"/>
    <w:tmpl w:val="53184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96DB8"/>
    <w:multiLevelType w:val="hybridMultilevel"/>
    <w:tmpl w:val="DB40B6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7AC7C29"/>
    <w:multiLevelType w:val="hybridMultilevel"/>
    <w:tmpl w:val="35DC974A"/>
    <w:lvl w:ilvl="0" w:tplc="FB20ADE8">
      <w:start w:val="11"/>
      <w:numFmt w:val="bullet"/>
      <w:lvlText w:val=""/>
      <w:lvlJc w:val="left"/>
      <w:pPr>
        <w:ind w:left="720" w:hanging="360"/>
      </w:pPr>
      <w:rPr>
        <w:rFonts w:ascii="Symbol" w:eastAsia="Times New Roman" w:hAnsi="Symbol" w:hint="default"/>
        <w:b/>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9F4878"/>
    <w:multiLevelType w:val="hybridMultilevel"/>
    <w:tmpl w:val="B68C9F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D504AE1"/>
    <w:multiLevelType w:val="hybridMultilevel"/>
    <w:tmpl w:val="94DAE96C"/>
    <w:lvl w:ilvl="0" w:tplc="1009000F">
      <w:start w:val="1"/>
      <w:numFmt w:val="decimal"/>
      <w:lvlText w:val="%1."/>
      <w:lvlJc w:val="left"/>
      <w:pPr>
        <w:ind w:left="720" w:hanging="360"/>
      </w:pPr>
    </w:lvl>
    <w:lvl w:ilvl="1" w:tplc="9B7670E0">
      <w:start w:val="1"/>
      <w:numFmt w:val="lowerLetter"/>
      <w:lvlText w:val="(%2)"/>
      <w:lvlJc w:val="left"/>
      <w:pPr>
        <w:ind w:left="1440" w:hanging="360"/>
      </w:pPr>
      <w:rPr>
        <w:rFonts w:asciiTheme="minorHAnsi" w:hAnsiTheme="minorHAns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0E3A6F"/>
    <w:multiLevelType w:val="hybridMultilevel"/>
    <w:tmpl w:val="D25EFB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31028048">
    <w:abstractNumId w:val="7"/>
  </w:num>
  <w:num w:numId="2" w16cid:durableId="1584141602">
    <w:abstractNumId w:val="17"/>
  </w:num>
  <w:num w:numId="3" w16cid:durableId="423958862">
    <w:abstractNumId w:val="5"/>
  </w:num>
  <w:num w:numId="4" w16cid:durableId="1967151263">
    <w:abstractNumId w:val="10"/>
  </w:num>
  <w:num w:numId="5" w16cid:durableId="1218590607">
    <w:abstractNumId w:val="21"/>
  </w:num>
  <w:num w:numId="6" w16cid:durableId="518204758">
    <w:abstractNumId w:val="19"/>
  </w:num>
  <w:num w:numId="7" w16cid:durableId="578905400">
    <w:abstractNumId w:val="25"/>
  </w:num>
  <w:num w:numId="8" w16cid:durableId="966470757">
    <w:abstractNumId w:val="8"/>
  </w:num>
  <w:num w:numId="9" w16cid:durableId="1407806104">
    <w:abstractNumId w:val="13"/>
  </w:num>
  <w:num w:numId="10" w16cid:durableId="1335720924">
    <w:abstractNumId w:val="6"/>
  </w:num>
  <w:num w:numId="11" w16cid:durableId="1053503625">
    <w:abstractNumId w:val="14"/>
  </w:num>
  <w:num w:numId="12" w16cid:durableId="263655292">
    <w:abstractNumId w:val="1"/>
  </w:num>
  <w:num w:numId="13" w16cid:durableId="469517410">
    <w:abstractNumId w:val="22"/>
  </w:num>
  <w:num w:numId="14" w16cid:durableId="1102840820">
    <w:abstractNumId w:val="15"/>
  </w:num>
  <w:num w:numId="15" w16cid:durableId="550775882">
    <w:abstractNumId w:val="11"/>
  </w:num>
  <w:num w:numId="16" w16cid:durableId="2118987839">
    <w:abstractNumId w:val="3"/>
  </w:num>
  <w:num w:numId="17" w16cid:durableId="1581714047">
    <w:abstractNumId w:val="23"/>
  </w:num>
  <w:num w:numId="18" w16cid:durableId="2142069187">
    <w:abstractNumId w:val="20"/>
  </w:num>
  <w:num w:numId="19" w16cid:durableId="897977035">
    <w:abstractNumId w:val="9"/>
  </w:num>
  <w:num w:numId="20" w16cid:durableId="1055329">
    <w:abstractNumId w:val="24"/>
  </w:num>
  <w:num w:numId="21" w16cid:durableId="2133865975">
    <w:abstractNumId w:val="18"/>
  </w:num>
  <w:num w:numId="22" w16cid:durableId="823855104">
    <w:abstractNumId w:val="4"/>
  </w:num>
  <w:num w:numId="23" w16cid:durableId="875770736">
    <w:abstractNumId w:val="12"/>
  </w:num>
  <w:num w:numId="24" w16cid:durableId="1750808400">
    <w:abstractNumId w:val="2"/>
  </w:num>
  <w:num w:numId="25" w16cid:durableId="549154858">
    <w:abstractNumId w:val="16"/>
  </w:num>
  <w:num w:numId="26" w16cid:durableId="1457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2E"/>
    <w:rsid w:val="00007069"/>
    <w:rsid w:val="00013F25"/>
    <w:rsid w:val="0002138A"/>
    <w:rsid w:val="000400AC"/>
    <w:rsid w:val="00046DC2"/>
    <w:rsid w:val="00064723"/>
    <w:rsid w:val="00064D49"/>
    <w:rsid w:val="00067094"/>
    <w:rsid w:val="00084F05"/>
    <w:rsid w:val="00090561"/>
    <w:rsid w:val="00097393"/>
    <w:rsid w:val="000A51AF"/>
    <w:rsid w:val="000C633F"/>
    <w:rsid w:val="000D026D"/>
    <w:rsid w:val="000E4CCB"/>
    <w:rsid w:val="000E4FA0"/>
    <w:rsid w:val="000E7FBA"/>
    <w:rsid w:val="000F5029"/>
    <w:rsid w:val="00101A22"/>
    <w:rsid w:val="00106DA4"/>
    <w:rsid w:val="00107841"/>
    <w:rsid w:val="00112224"/>
    <w:rsid w:val="001224DD"/>
    <w:rsid w:val="00141F74"/>
    <w:rsid w:val="001538DD"/>
    <w:rsid w:val="00156837"/>
    <w:rsid w:val="00170F62"/>
    <w:rsid w:val="00171DF3"/>
    <w:rsid w:val="001859B6"/>
    <w:rsid w:val="001922C1"/>
    <w:rsid w:val="001A0FE6"/>
    <w:rsid w:val="001A25AA"/>
    <w:rsid w:val="001A26ED"/>
    <w:rsid w:val="001D3DCB"/>
    <w:rsid w:val="001E5B2E"/>
    <w:rsid w:val="001E7E2B"/>
    <w:rsid w:val="002062F4"/>
    <w:rsid w:val="00214C28"/>
    <w:rsid w:val="00214CDA"/>
    <w:rsid w:val="0022287E"/>
    <w:rsid w:val="00267F0A"/>
    <w:rsid w:val="00275600"/>
    <w:rsid w:val="0027712A"/>
    <w:rsid w:val="00295764"/>
    <w:rsid w:val="002B2EC4"/>
    <w:rsid w:val="002C3CC1"/>
    <w:rsid w:val="002F04A3"/>
    <w:rsid w:val="002F2BFC"/>
    <w:rsid w:val="003011DD"/>
    <w:rsid w:val="00303A4A"/>
    <w:rsid w:val="003113D1"/>
    <w:rsid w:val="0031798F"/>
    <w:rsid w:val="003350B9"/>
    <w:rsid w:val="00342227"/>
    <w:rsid w:val="00345AC5"/>
    <w:rsid w:val="00347B83"/>
    <w:rsid w:val="00366334"/>
    <w:rsid w:val="0039260C"/>
    <w:rsid w:val="003A0021"/>
    <w:rsid w:val="003C1275"/>
    <w:rsid w:val="003C2025"/>
    <w:rsid w:val="003C25EF"/>
    <w:rsid w:val="003D13F7"/>
    <w:rsid w:val="003D3B79"/>
    <w:rsid w:val="00405618"/>
    <w:rsid w:val="00411AE1"/>
    <w:rsid w:val="0042076B"/>
    <w:rsid w:val="00466EDE"/>
    <w:rsid w:val="0049657E"/>
    <w:rsid w:val="004A6434"/>
    <w:rsid w:val="004C562E"/>
    <w:rsid w:val="0051589D"/>
    <w:rsid w:val="00522E5F"/>
    <w:rsid w:val="00542B4F"/>
    <w:rsid w:val="00582A69"/>
    <w:rsid w:val="005941C7"/>
    <w:rsid w:val="005B4867"/>
    <w:rsid w:val="005D3302"/>
    <w:rsid w:val="005E1AC7"/>
    <w:rsid w:val="00632ECE"/>
    <w:rsid w:val="00651F88"/>
    <w:rsid w:val="00656349"/>
    <w:rsid w:val="00665D9B"/>
    <w:rsid w:val="00681300"/>
    <w:rsid w:val="00683CCE"/>
    <w:rsid w:val="0069080C"/>
    <w:rsid w:val="006A0A9A"/>
    <w:rsid w:val="006B11BC"/>
    <w:rsid w:val="006F04B4"/>
    <w:rsid w:val="00704368"/>
    <w:rsid w:val="0073708E"/>
    <w:rsid w:val="00737D4C"/>
    <w:rsid w:val="007401E2"/>
    <w:rsid w:val="00742787"/>
    <w:rsid w:val="00761DC3"/>
    <w:rsid w:val="00786168"/>
    <w:rsid w:val="007958A9"/>
    <w:rsid w:val="007A2B11"/>
    <w:rsid w:val="007B7F3F"/>
    <w:rsid w:val="007C2F7C"/>
    <w:rsid w:val="007C55C9"/>
    <w:rsid w:val="007C6628"/>
    <w:rsid w:val="007C7798"/>
    <w:rsid w:val="007D105E"/>
    <w:rsid w:val="007E01F4"/>
    <w:rsid w:val="007E05A0"/>
    <w:rsid w:val="007E7705"/>
    <w:rsid w:val="0080580D"/>
    <w:rsid w:val="00824A50"/>
    <w:rsid w:val="00835930"/>
    <w:rsid w:val="008406ED"/>
    <w:rsid w:val="0086178B"/>
    <w:rsid w:val="008741DA"/>
    <w:rsid w:val="008A37B5"/>
    <w:rsid w:val="008B1008"/>
    <w:rsid w:val="008C0F5B"/>
    <w:rsid w:val="008F1DFE"/>
    <w:rsid w:val="00906099"/>
    <w:rsid w:val="00911501"/>
    <w:rsid w:val="00940FC1"/>
    <w:rsid w:val="00970E53"/>
    <w:rsid w:val="00972888"/>
    <w:rsid w:val="00986129"/>
    <w:rsid w:val="009A6D1D"/>
    <w:rsid w:val="009B14D6"/>
    <w:rsid w:val="009B7837"/>
    <w:rsid w:val="009F25C7"/>
    <w:rsid w:val="00A13736"/>
    <w:rsid w:val="00A14D04"/>
    <w:rsid w:val="00A24AFF"/>
    <w:rsid w:val="00A263FC"/>
    <w:rsid w:val="00A31BBC"/>
    <w:rsid w:val="00A325DD"/>
    <w:rsid w:val="00A55BAD"/>
    <w:rsid w:val="00A651A7"/>
    <w:rsid w:val="00A66274"/>
    <w:rsid w:val="00A76C0C"/>
    <w:rsid w:val="00A8172D"/>
    <w:rsid w:val="00A852F5"/>
    <w:rsid w:val="00A86484"/>
    <w:rsid w:val="00AE50F5"/>
    <w:rsid w:val="00AE640E"/>
    <w:rsid w:val="00AE70C2"/>
    <w:rsid w:val="00AE740F"/>
    <w:rsid w:val="00AF7890"/>
    <w:rsid w:val="00B02D7B"/>
    <w:rsid w:val="00B135C2"/>
    <w:rsid w:val="00B138BA"/>
    <w:rsid w:val="00B21DDD"/>
    <w:rsid w:val="00B454C3"/>
    <w:rsid w:val="00B56808"/>
    <w:rsid w:val="00B7035F"/>
    <w:rsid w:val="00B734CD"/>
    <w:rsid w:val="00B90487"/>
    <w:rsid w:val="00B94273"/>
    <w:rsid w:val="00BA00AB"/>
    <w:rsid w:val="00BC6D28"/>
    <w:rsid w:val="00BC7A32"/>
    <w:rsid w:val="00BD1FB6"/>
    <w:rsid w:val="00BE13A6"/>
    <w:rsid w:val="00BF7ACE"/>
    <w:rsid w:val="00C10941"/>
    <w:rsid w:val="00C55BA5"/>
    <w:rsid w:val="00C57028"/>
    <w:rsid w:val="00C76D47"/>
    <w:rsid w:val="00C851AC"/>
    <w:rsid w:val="00C92CB4"/>
    <w:rsid w:val="00CB3807"/>
    <w:rsid w:val="00CB426C"/>
    <w:rsid w:val="00CC5DD8"/>
    <w:rsid w:val="00CC77B2"/>
    <w:rsid w:val="00CD589A"/>
    <w:rsid w:val="00D02767"/>
    <w:rsid w:val="00D075FE"/>
    <w:rsid w:val="00D1226E"/>
    <w:rsid w:val="00D2041D"/>
    <w:rsid w:val="00D31AE0"/>
    <w:rsid w:val="00D34155"/>
    <w:rsid w:val="00D56E34"/>
    <w:rsid w:val="00D659A6"/>
    <w:rsid w:val="00D65BDB"/>
    <w:rsid w:val="00D67611"/>
    <w:rsid w:val="00D96FED"/>
    <w:rsid w:val="00DB172C"/>
    <w:rsid w:val="00DB63C0"/>
    <w:rsid w:val="00DB7B2C"/>
    <w:rsid w:val="00DC0C13"/>
    <w:rsid w:val="00DD023E"/>
    <w:rsid w:val="00E045A5"/>
    <w:rsid w:val="00E13266"/>
    <w:rsid w:val="00E13410"/>
    <w:rsid w:val="00E24349"/>
    <w:rsid w:val="00E24BBC"/>
    <w:rsid w:val="00E27A09"/>
    <w:rsid w:val="00E44121"/>
    <w:rsid w:val="00E545DA"/>
    <w:rsid w:val="00E55836"/>
    <w:rsid w:val="00E71A67"/>
    <w:rsid w:val="00E76690"/>
    <w:rsid w:val="00E80B4E"/>
    <w:rsid w:val="00E96925"/>
    <w:rsid w:val="00EA2F29"/>
    <w:rsid w:val="00EB4F07"/>
    <w:rsid w:val="00EC1359"/>
    <w:rsid w:val="00EE461B"/>
    <w:rsid w:val="00EF771A"/>
    <w:rsid w:val="00F050C5"/>
    <w:rsid w:val="00F16C27"/>
    <w:rsid w:val="00F23538"/>
    <w:rsid w:val="00F24B60"/>
    <w:rsid w:val="00F76787"/>
    <w:rsid w:val="00F82F41"/>
    <w:rsid w:val="00F84409"/>
    <w:rsid w:val="00F95475"/>
    <w:rsid w:val="00FB0D29"/>
    <w:rsid w:val="00FC46D6"/>
    <w:rsid w:val="00FE4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D40D5"/>
  <w14:defaultImageDpi w14:val="0"/>
  <w15:docId w15:val="{ED94453F-9AAA-4DE9-9414-4D604115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22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04B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F04B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6F04B4"/>
    <w:rPr>
      <w:rFonts w:cs="Times New Roman"/>
    </w:rPr>
  </w:style>
  <w:style w:type="character" w:styleId="Hyperlink">
    <w:name w:val="Hyperlink"/>
    <w:basedOn w:val="DefaultParagraphFont"/>
    <w:uiPriority w:val="99"/>
    <w:rsid w:val="00704368"/>
    <w:rPr>
      <w:rFonts w:cs="Times New Roman"/>
      <w:color w:val="0000FF"/>
      <w:u w:val="single"/>
    </w:rPr>
  </w:style>
  <w:style w:type="paragraph" w:styleId="BalloonText">
    <w:name w:val="Balloon Text"/>
    <w:basedOn w:val="Normal"/>
    <w:link w:val="BalloonTextChar"/>
    <w:uiPriority w:val="99"/>
    <w:rsid w:val="009B7837"/>
    <w:rPr>
      <w:rFonts w:ascii="Tahoma" w:hAnsi="Tahoma" w:cs="Tahoma"/>
      <w:sz w:val="16"/>
      <w:szCs w:val="16"/>
    </w:rPr>
  </w:style>
  <w:style w:type="character" w:customStyle="1" w:styleId="BalloonTextChar">
    <w:name w:val="Balloon Text Char"/>
    <w:basedOn w:val="DefaultParagraphFont"/>
    <w:link w:val="BalloonText"/>
    <w:uiPriority w:val="99"/>
    <w:locked/>
    <w:rsid w:val="009B7837"/>
    <w:rPr>
      <w:rFonts w:ascii="Tahoma" w:hAnsi="Tahoma" w:cs="Tahoma"/>
      <w:sz w:val="16"/>
      <w:szCs w:val="16"/>
    </w:rPr>
  </w:style>
  <w:style w:type="character" w:styleId="CommentReference">
    <w:name w:val="annotation reference"/>
    <w:basedOn w:val="DefaultParagraphFont"/>
    <w:uiPriority w:val="99"/>
    <w:rsid w:val="003A0021"/>
    <w:rPr>
      <w:rFonts w:cs="Times New Roman"/>
      <w:sz w:val="16"/>
      <w:szCs w:val="16"/>
    </w:rPr>
  </w:style>
  <w:style w:type="paragraph" w:styleId="CommentText">
    <w:name w:val="annotation text"/>
    <w:basedOn w:val="Normal"/>
    <w:link w:val="CommentTextChar"/>
    <w:uiPriority w:val="99"/>
    <w:rsid w:val="003A0021"/>
    <w:rPr>
      <w:sz w:val="20"/>
      <w:szCs w:val="20"/>
    </w:rPr>
  </w:style>
  <w:style w:type="character" w:customStyle="1" w:styleId="CommentTextChar">
    <w:name w:val="Comment Text Char"/>
    <w:basedOn w:val="DefaultParagraphFont"/>
    <w:link w:val="CommentText"/>
    <w:uiPriority w:val="99"/>
    <w:locked/>
    <w:rsid w:val="003A0021"/>
    <w:rPr>
      <w:rFonts w:cs="Times New Roman"/>
      <w:lang w:val="en-US" w:eastAsia="en-US"/>
    </w:rPr>
  </w:style>
  <w:style w:type="paragraph" w:styleId="CommentSubject">
    <w:name w:val="annotation subject"/>
    <w:basedOn w:val="CommentText"/>
    <w:next w:val="CommentText"/>
    <w:link w:val="CommentSubjectChar"/>
    <w:uiPriority w:val="99"/>
    <w:rsid w:val="003A0021"/>
    <w:rPr>
      <w:b/>
      <w:bCs/>
    </w:rPr>
  </w:style>
  <w:style w:type="character" w:customStyle="1" w:styleId="CommentSubjectChar">
    <w:name w:val="Comment Subject Char"/>
    <w:basedOn w:val="CommentTextChar"/>
    <w:link w:val="CommentSubject"/>
    <w:uiPriority w:val="99"/>
    <w:locked/>
    <w:rsid w:val="003A0021"/>
    <w:rPr>
      <w:rFonts w:cs="Times New Roman"/>
      <w:b/>
      <w:bCs/>
      <w:lang w:val="en-US" w:eastAsia="en-US"/>
    </w:rPr>
  </w:style>
  <w:style w:type="paragraph" w:customStyle="1" w:styleId="Default">
    <w:name w:val="Default"/>
    <w:rsid w:val="00345AC5"/>
    <w:pPr>
      <w:autoSpaceDE w:val="0"/>
      <w:autoSpaceDN w:val="0"/>
      <w:adjustRightInd w:val="0"/>
    </w:pPr>
    <w:rPr>
      <w:rFonts w:ascii="Calibri" w:hAnsi="Calibri" w:cs="Calibri"/>
      <w:color w:val="000000"/>
      <w:sz w:val="24"/>
      <w:szCs w:val="24"/>
    </w:rPr>
  </w:style>
  <w:style w:type="character" w:styleId="SubtleEmphasis">
    <w:name w:val="Subtle Emphasis"/>
    <w:basedOn w:val="DefaultParagraphFont"/>
    <w:uiPriority w:val="19"/>
    <w:qFormat/>
    <w:rsid w:val="005B4867"/>
    <w:rPr>
      <w:rFonts w:cs="Times New Roman"/>
      <w:i/>
      <w:iCs/>
      <w:color w:val="808080" w:themeColor="text1" w:themeTint="7F"/>
    </w:rPr>
  </w:style>
  <w:style w:type="paragraph" w:styleId="Revision">
    <w:name w:val="Revision"/>
    <w:hidden/>
    <w:uiPriority w:val="99"/>
    <w:semiHidden/>
    <w:rsid w:val="0069080C"/>
    <w:rPr>
      <w:sz w:val="24"/>
      <w:szCs w:val="24"/>
      <w:lang w:val="en-US" w:eastAsia="en-US"/>
    </w:rPr>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rsid w:val="001E7E2B"/>
    <w:pPr>
      <w:ind w:left="720"/>
    </w:pPr>
  </w:style>
  <w:style w:type="character" w:customStyle="1" w:styleId="ListParagraphChar">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qFormat/>
    <w:rsid w:val="00F84409"/>
    <w:rPr>
      <w:sz w:val="24"/>
      <w:szCs w:val="24"/>
      <w:lang w:val="en-US" w:eastAsia="en-US"/>
    </w:rPr>
  </w:style>
  <w:style w:type="character" w:customStyle="1" w:styleId="SectionSubSectionChar">
    <w:name w:val="Section+SubSection Char"/>
    <w:basedOn w:val="DefaultParagraphFont"/>
    <w:link w:val="SectionSubSection"/>
    <w:locked/>
    <w:rsid w:val="00F84409"/>
    <w:rPr>
      <w:lang w:val="en-US"/>
    </w:rPr>
  </w:style>
  <w:style w:type="paragraph" w:customStyle="1" w:styleId="SectionSubSection">
    <w:name w:val="Section+SubSection"/>
    <w:basedOn w:val="Normal"/>
    <w:link w:val="SectionSubSectionChar"/>
    <w:rsid w:val="00F84409"/>
    <w:pPr>
      <w:tabs>
        <w:tab w:val="right" w:pos="480"/>
        <w:tab w:val="right" w:pos="1200"/>
        <w:tab w:val="left" w:pos="1320"/>
      </w:tabs>
      <w:spacing w:before="80" w:line="260" w:lineRule="atLeast"/>
      <w:ind w:left="1320" w:hanging="1320"/>
      <w:jc w:val="both"/>
    </w:pPr>
    <w:rPr>
      <w:sz w:val="20"/>
      <w:szCs w:val="20"/>
      <w:lang w:eastAsia="en-CA"/>
    </w:rPr>
  </w:style>
  <w:style w:type="table" w:customStyle="1" w:styleId="TableGrid1">
    <w:name w:val="Table Grid1"/>
    <w:basedOn w:val="TableNormal"/>
    <w:next w:val="TableGrid"/>
    <w:uiPriority w:val="39"/>
    <w:rsid w:val="002F04A3"/>
    <w:rPr>
      <w:rFonts w:ascii="Calibri" w:eastAsia="Calibri" w:hAnsi="Calibr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05D7BD1C156428A3458F719C0CDF3" ma:contentTypeVersion="1" ma:contentTypeDescription="Create a new document." ma:contentTypeScope="" ma:versionID="3d1fb7f633acc88464210fc2f5ff1e46">
  <xsd:schema xmlns:xsd="http://www.w3.org/2001/XMLSchema" xmlns:xs="http://www.w3.org/2001/XMLSchema" xmlns:p="http://schemas.microsoft.com/office/2006/metadata/properties" xmlns:ns2="6682aced-9b66-48f6-805a-e3d0773e7390" targetNamespace="http://schemas.microsoft.com/office/2006/metadata/properties" ma:root="true" ma:fieldsID="726f410919cf9cc5ceadd6f08723897a" ns2:_="">
    <xsd:import namespace="6682aced-9b66-48f6-805a-e3d0773e73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2aced-9b66-48f6-805a-e3d0773e73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17E69-59A7-48A4-A692-3BF0B61BAD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A59713-04B3-4BAC-AE4D-FEC28B416EA9}">
  <ds:schemaRefs>
    <ds:schemaRef ds:uri="http://schemas.microsoft.com/sharepoint/v3/contenttype/forms"/>
  </ds:schemaRefs>
</ds:datastoreItem>
</file>

<file path=customXml/itemProps3.xml><?xml version="1.0" encoding="utf-8"?>
<ds:datastoreItem xmlns:ds="http://schemas.openxmlformats.org/officeDocument/2006/customXml" ds:itemID="{8B9F071F-ECE4-462C-9FA2-0594FB9F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2aced-9b66-48f6-805a-e3d0773e7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PCTIA</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cwayne</dc:creator>
  <cp:lastModifiedBy>Christopher Herbert</cp:lastModifiedBy>
  <cp:revision>2</cp:revision>
  <dcterms:created xsi:type="dcterms:W3CDTF">2025-09-03T23:35:00Z</dcterms:created>
  <dcterms:modified xsi:type="dcterms:W3CDTF">2025-09-03T23:35:00Z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